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285116">
        <w:rPr>
          <w:rFonts w:ascii="Arial" w:hAnsi="Arial" w:cs="Arial"/>
          <w:b/>
          <w:sz w:val="36"/>
          <w:szCs w:val="36"/>
          <w:highlight w:val="yellow"/>
          <w:u w:val="single"/>
        </w:rPr>
        <w:t>UCC</w:t>
      </w:r>
      <w:r w:rsidRPr="00A96A49">
        <w:rPr>
          <w:rFonts w:ascii="Arial" w:hAnsi="Arial" w:cs="Arial"/>
          <w:b/>
          <w:sz w:val="36"/>
          <w:szCs w:val="36"/>
        </w:rPr>
        <w:t>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285116">
        <w:rPr>
          <w:rFonts w:ascii="Arial" w:hAnsi="Arial" w:cs="Arial"/>
          <w:b/>
          <w:sz w:val="28"/>
          <w:szCs w:val="28"/>
          <w:highlight w:val="yellow"/>
          <w:u w:val="single"/>
        </w:rPr>
        <w:t>Plan Change</w:t>
      </w:r>
      <w:r w:rsidRPr="00BF0859">
        <w:rPr>
          <w:rFonts w:ascii="Arial" w:hAnsi="Arial" w:cs="Arial"/>
          <w:sz w:val="28"/>
          <w:szCs w:val="28"/>
        </w:rPr>
        <w:t xml:space="preserve">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06024A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220D2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Refer to </w:t>
            </w:r>
            <w:hyperlink r:id="rId9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UCC</w:t>
              </w:r>
            </w:hyperlink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or </w:t>
            </w:r>
            <w:hyperlink r:id="rId10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UGC</w:t>
              </w:r>
            </w:hyperlink>
            <w:r w:rsid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4E0C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Fast T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rack Policy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300"/>
        <w:gridCol w:w="1980"/>
        <w:gridCol w:w="360"/>
        <w:gridCol w:w="810"/>
        <w:gridCol w:w="1800"/>
        <w:gridCol w:w="900"/>
      </w:tblGrid>
      <w:tr w:rsidR="002B1A53" w:rsidRPr="00A65726" w:rsidTr="008637C9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A45E05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W.A.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College of Business</w:t>
            </w:r>
          </w:p>
        </w:tc>
        <w:tc>
          <w:tcPr>
            <w:tcW w:w="2340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:rsidR="00A65726" w:rsidRDefault="008637C9" w:rsidP="008637C9">
            <w:pPr>
              <w:rPr>
                <w:rFonts w:ascii="Arial" w:hAnsi="Arial" w:cs="Arial"/>
                <w:b/>
              </w:rPr>
            </w:pPr>
            <w:r w:rsidRPr="00A65726">
              <w:rPr>
                <w:rFonts w:ascii="Arial" w:hAnsi="Arial" w:cs="Arial"/>
                <w:b/>
              </w:rPr>
              <w:t xml:space="preserve">Business Economics, </w:t>
            </w:r>
          </w:p>
          <w:p w:rsidR="008637C9" w:rsidRPr="00A65726" w:rsidRDefault="00A9663D" w:rsidP="008637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Business </w:t>
            </w:r>
            <w:proofErr w:type="spellStart"/>
            <w:r>
              <w:rPr>
                <w:rFonts w:ascii="Arial" w:hAnsi="Arial" w:cs="Arial"/>
                <w:b/>
              </w:rPr>
              <w:t>Adminstration</w:t>
            </w:r>
            <w:proofErr w:type="spellEnd"/>
            <w:r w:rsidR="008637C9" w:rsidRPr="00A65726">
              <w:rPr>
                <w:rFonts w:ascii="Arial" w:hAnsi="Arial" w:cs="Arial"/>
                <w:b/>
              </w:rPr>
              <w:t xml:space="preserve">,  </w:t>
            </w:r>
          </w:p>
          <w:p w:rsidR="00DD1AD9" w:rsidRPr="00A65726" w:rsidRDefault="00A9663D" w:rsidP="00A96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</w:t>
            </w:r>
            <w:r w:rsidR="008637C9" w:rsidRPr="00A6572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4"/>
          </w:tcPr>
          <w:p w:rsidR="00DD1AD9" w:rsidRDefault="00DD1AD9" w:rsidP="00287DE0"/>
        </w:tc>
      </w:tr>
      <w:tr w:rsidR="002B1A53" w:rsidTr="008637C9">
        <w:trPr>
          <w:trHeight w:val="432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bottom"/>
          </w:tcPr>
          <w:p w:rsidR="008637C9" w:rsidRPr="002C08CF" w:rsidRDefault="008637C9" w:rsidP="005C4B2A">
            <w:pPr>
              <w:rPr>
                <w:rFonts w:ascii="Arial" w:hAnsi="Arial" w:cs="Arial"/>
                <w:b/>
              </w:rPr>
            </w:pPr>
            <w:r w:rsidRPr="002C08CF">
              <w:rPr>
                <w:rFonts w:ascii="Arial" w:hAnsi="Arial" w:cs="Arial"/>
                <w:b/>
              </w:rPr>
              <w:t>Business Economics; UCERT</w:t>
            </w:r>
            <w:r w:rsidR="00B358CF" w:rsidRPr="002C08CF">
              <w:rPr>
                <w:rFonts w:ascii="Arial" w:hAnsi="Arial" w:cs="Arial"/>
                <w:b/>
              </w:rPr>
              <w:t xml:space="preserve"> (</w:t>
            </w:r>
            <w:r w:rsidR="002C08CF" w:rsidRPr="002C08CF">
              <w:rPr>
                <w:rFonts w:ascii="Arial" w:hAnsi="Arial" w:cs="Arial"/>
                <w:b/>
              </w:rPr>
              <w:t>BECT</w:t>
            </w:r>
            <w:r w:rsidR="00B358CF" w:rsidRPr="002C08CF">
              <w:rPr>
                <w:rFonts w:ascii="Arial" w:hAnsi="Arial" w:cs="Arial"/>
                <w:b/>
              </w:rPr>
              <w:t>)</w:t>
            </w:r>
          </w:p>
          <w:p w:rsidR="008637C9" w:rsidRPr="002C08CF" w:rsidRDefault="008637C9" w:rsidP="005C4B2A">
            <w:pPr>
              <w:rPr>
                <w:rFonts w:ascii="Arial" w:hAnsi="Arial" w:cs="Arial"/>
                <w:b/>
              </w:rPr>
            </w:pPr>
            <w:r w:rsidRPr="002C08CF">
              <w:rPr>
                <w:rFonts w:ascii="Arial" w:hAnsi="Arial" w:cs="Arial"/>
                <w:b/>
              </w:rPr>
              <w:t>Corporate Financial Management; UCERT</w:t>
            </w:r>
            <w:r w:rsidR="00B358CF" w:rsidRPr="002C08CF">
              <w:rPr>
                <w:rFonts w:ascii="Arial" w:hAnsi="Arial" w:cs="Arial"/>
                <w:b/>
              </w:rPr>
              <w:t xml:space="preserve"> (</w:t>
            </w:r>
            <w:r w:rsidR="002C08CF" w:rsidRPr="002C08CF">
              <w:rPr>
                <w:rFonts w:ascii="Arial" w:hAnsi="Arial" w:cs="Arial"/>
                <w:b/>
              </w:rPr>
              <w:t>CFMCT</w:t>
            </w:r>
            <w:r w:rsidR="00B358CF" w:rsidRPr="002C08CF">
              <w:rPr>
                <w:rFonts w:ascii="Arial" w:hAnsi="Arial" w:cs="Arial"/>
                <w:b/>
              </w:rPr>
              <w:t>)</w:t>
            </w:r>
          </w:p>
          <w:p w:rsidR="008637C9" w:rsidRPr="002C08CF" w:rsidRDefault="008637C9" w:rsidP="005C4B2A">
            <w:pPr>
              <w:rPr>
                <w:rFonts w:ascii="Arial" w:hAnsi="Arial" w:cs="Arial"/>
                <w:b/>
              </w:rPr>
            </w:pPr>
            <w:r w:rsidRPr="002C08CF">
              <w:rPr>
                <w:rFonts w:ascii="Arial" w:hAnsi="Arial" w:cs="Arial"/>
                <w:b/>
              </w:rPr>
              <w:t>International Business Studies; UCERT</w:t>
            </w:r>
            <w:r w:rsidR="00B358CF" w:rsidRPr="002C08CF">
              <w:rPr>
                <w:rFonts w:ascii="Arial" w:hAnsi="Arial" w:cs="Arial"/>
                <w:b/>
              </w:rPr>
              <w:t xml:space="preserve"> </w:t>
            </w:r>
            <w:r w:rsidR="00B358CF" w:rsidRPr="00220D24">
              <w:rPr>
                <w:rFonts w:ascii="Arial" w:hAnsi="Arial" w:cs="Arial"/>
                <w:b/>
              </w:rPr>
              <w:t>(</w:t>
            </w:r>
            <w:r w:rsidR="00220D24" w:rsidRPr="00220D24">
              <w:rPr>
                <w:rFonts w:ascii="Arial" w:hAnsi="Arial" w:cs="Arial"/>
                <w:b/>
              </w:rPr>
              <w:t>IBSCT</w:t>
            </w:r>
            <w:r w:rsidR="00B358CF" w:rsidRPr="00220D24">
              <w:rPr>
                <w:rFonts w:ascii="Arial" w:hAnsi="Arial" w:cs="Arial"/>
                <w:b/>
              </w:rPr>
              <w:t>)</w:t>
            </w:r>
          </w:p>
          <w:p w:rsidR="008637C9" w:rsidRPr="00220D24" w:rsidRDefault="008637C9" w:rsidP="002C08CF">
            <w:pPr>
              <w:rPr>
                <w:rFonts w:ascii="Arial" w:hAnsi="Arial" w:cs="Arial"/>
                <w:b/>
              </w:rPr>
            </w:pPr>
            <w:r w:rsidRPr="002C08CF">
              <w:rPr>
                <w:rFonts w:ascii="Arial" w:hAnsi="Arial" w:cs="Arial"/>
                <w:b/>
              </w:rPr>
              <w:t>Investments; UCERT</w:t>
            </w:r>
            <w:r w:rsidR="00B358CF" w:rsidRPr="002C08CF">
              <w:rPr>
                <w:rFonts w:ascii="Arial" w:hAnsi="Arial" w:cs="Arial"/>
                <w:b/>
              </w:rPr>
              <w:t xml:space="preserve"> (</w:t>
            </w:r>
            <w:r w:rsidR="002C08CF" w:rsidRPr="002C08CF">
              <w:rPr>
                <w:rFonts w:ascii="Arial" w:hAnsi="Arial" w:cs="Arial"/>
                <w:b/>
              </w:rPr>
              <w:t>INVCT</w:t>
            </w:r>
            <w:r w:rsidR="00B358CF" w:rsidRPr="002C08C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22AC3" w:rsidRPr="00F33E64" w:rsidRDefault="008637C9" w:rsidP="00A22A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06024A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="0028511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06024A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06024A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06024A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06024A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28"/>
        <w:gridCol w:w="5580"/>
      </w:tblGrid>
      <w:tr w:rsidR="0065207F" w:rsidTr="00E30D0E">
        <w:tc>
          <w:tcPr>
            <w:tcW w:w="532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9F5529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529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529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529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126CE8" w:rsidRDefault="008B3ACA" w:rsidP="00126CE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1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 w:rsidP="00A65726"/>
        </w:tc>
      </w:tr>
      <w:tr w:rsidR="0065207F" w:rsidRPr="00845F8F" w:rsidTr="00E30D0E">
        <w:tc>
          <w:tcPr>
            <w:tcW w:w="5328" w:type="dxa"/>
          </w:tcPr>
          <w:p w:rsidR="0065207F" w:rsidRPr="00845F8F" w:rsidRDefault="0006024A" w:rsidP="0065207F">
            <w:pPr>
              <w:pStyle w:val="Heading3"/>
              <w:spacing w:line="260" w:lineRule="auto"/>
              <w:outlineLvl w:val="2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8637C9" w:rsidRPr="005821C8" w:rsidRDefault="008637C9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 w:rsidRPr="00845F8F">
              <w:rPr>
                <w:rFonts w:ascii="Tahoma" w:hAnsi="Tahoma" w:cs="Tahoma"/>
                <w:b w:val="0"/>
                <w:szCs w:val="24"/>
              </w:rPr>
              <w:t>7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.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Current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catalog plan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overview and </w:t>
            </w:r>
            <w:r w:rsidR="006C069B" w:rsidRPr="00845F8F">
              <w:rPr>
                <w:rFonts w:ascii="Tahoma" w:hAnsi="Tahoma" w:cs="Tahoma"/>
                <w:b w:val="0"/>
                <w:szCs w:val="24"/>
              </w:rPr>
              <w:t>requirements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in this column. Cut and paste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the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O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verview</w:t>
            </w:r>
            <w:r w:rsidR="00287DE0" w:rsidRPr="00845F8F">
              <w:rPr>
                <w:rFonts w:ascii="Tahoma" w:hAnsi="Tahoma" w:cs="Tahoma"/>
                <w:b w:val="0"/>
                <w:i/>
                <w:szCs w:val="24"/>
              </w:rPr>
              <w:t xml:space="preserve">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and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D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etails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tabs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, in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>their en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>tirety, from the current on-line academic catalog:</w:t>
            </w:r>
            <w:r w:rsidR="0065207F" w:rsidRPr="00845F8F">
              <w:rPr>
                <w:rFonts w:ascii="Tahoma" w:hAnsi="Tahoma" w:cs="Tahoma"/>
                <w:szCs w:val="24"/>
              </w:rPr>
              <w:t xml:space="preserve"> (</w:t>
            </w:r>
            <w:hyperlink r:id="rId12" w:history="1">
              <w:r w:rsidR="005E15CA" w:rsidRPr="00845F8F">
                <w:rPr>
                  <w:rStyle w:val="Hyperlink"/>
                  <w:rFonts w:ascii="Tahoma" w:hAnsi="Tahoma" w:cs="Tahoma"/>
                  <w:szCs w:val="24"/>
                </w:rPr>
                <w:t>http://catalog.nau.edu/Catalog/</w:t>
              </w:r>
            </w:hyperlink>
            <w:r w:rsidR="0065207F" w:rsidRPr="00845F8F">
              <w:rPr>
                <w:rFonts w:ascii="Tahoma" w:hAnsi="Tahoma" w:cs="Tahoma"/>
                <w:szCs w:val="24"/>
              </w:rPr>
              <w:t>)</w:t>
            </w:r>
          </w:p>
          <w:p w:rsidR="005A721B" w:rsidRDefault="005A721B" w:rsidP="005A721B"/>
          <w:p w:rsidR="00FA2535" w:rsidRDefault="00FA2535" w:rsidP="005A721B"/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Additional Admission Requirements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We offer a more than a dozen non-degree certificates, some of which are open to all Northern Arizona University students.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numPr>
                <w:ilvl w:val="0"/>
                <w:numId w:val="1"/>
              </w:numPr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Major status in The W. A. </w:t>
            </w:r>
            <w:proofErr w:type="spellStart"/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</w:t>
            </w:r>
          </w:p>
          <w:p w:rsidR="00220D24" w:rsidRPr="00220D24" w:rsidRDefault="00220D24" w:rsidP="00220D24">
            <w:pPr>
              <w:pStyle w:val="Heading4"/>
              <w:numPr>
                <w:ilvl w:val="0"/>
                <w:numId w:val="1"/>
              </w:numPr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Or a 2.75 cumulative grade point average (GPA) with at least 30 units earned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majors, contact the Office of Academic Services in The W. A. </w:t>
            </w:r>
            <w:proofErr w:type="spellStart"/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Business. If you are not a business major, but wish to complete a certificate through The W. A. </w:t>
            </w:r>
            <w:proofErr w:type="spellStart"/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Business, you must apply to the Office of Academic Services. Please note that non-business majors are not allowed to take more than 27 units of business classes with the FCB.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Also note that most upper-division business courses require admission to the Business Professional Program or a waiver of prerequisite. Please visit the FCB Office of Academic Services for more information. The FCB does not accept upper-division transfer credits from programs not accredited by the AACSB (such as the University of Phoenix or the Bachelor of Business Administration program at 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lastRenderedPageBreak/>
              <w:t>NAU).</w:t>
            </w:r>
          </w:p>
          <w:p w:rsidR="00220D24" w:rsidRPr="00220D24" w:rsidRDefault="00220D24" w:rsidP="00220D24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5A721B" w:rsidRPr="00A45E05" w:rsidRDefault="00220D24" w:rsidP="00220D24">
            <w:pPr>
              <w:rPr>
                <w:rFonts w:ascii="Tahoma" w:hAnsi="Tahoma" w:cs="Tahoma"/>
                <w:sz w:val="24"/>
                <w:szCs w:val="24"/>
              </w:rPr>
            </w:pPr>
            <w:r w:rsidRPr="00220D24">
              <w:rPr>
                <w:rFonts w:ascii="Tahoma" w:hAnsi="Tahoma" w:cs="Tahoma"/>
                <w:sz w:val="24"/>
                <w:szCs w:val="24"/>
              </w:rPr>
              <w:t>Finally, you should know that you must have at least 6 units of certificate coursework that are not used in your major, minor, or other certificates, and you must complete at least 6 units of certificate coursework at Northern Arizona University.</w:t>
            </w:r>
          </w:p>
        </w:tc>
        <w:tc>
          <w:tcPr>
            <w:tcW w:w="5580" w:type="dxa"/>
          </w:tcPr>
          <w:p w:rsidR="0065207F" w:rsidRPr="00845F8F" w:rsidRDefault="0065207F">
            <w:pPr>
              <w:rPr>
                <w:rFonts w:ascii="Tahoma" w:hAnsi="Tahoma" w:cs="Tahoma"/>
                <w:sz w:val="24"/>
                <w:szCs w:val="24"/>
              </w:rPr>
            </w:pPr>
            <w:r w:rsidRPr="00845F8F">
              <w:rPr>
                <w:rFonts w:ascii="Tahoma" w:hAnsi="Tahoma" w:cs="Tahoma"/>
                <w:sz w:val="24"/>
                <w:szCs w:val="24"/>
              </w:rPr>
              <w:lastRenderedPageBreak/>
              <w:t xml:space="preserve">Show the proposed changes in this column. 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Bold</w:t>
            </w:r>
            <w:r w:rsidRPr="00845F8F">
              <w:rPr>
                <w:rFonts w:ascii="Tahoma" w:hAnsi="Tahoma" w:cs="Tahoma"/>
                <w:sz w:val="24"/>
                <w:szCs w:val="24"/>
              </w:rPr>
              <w:t xml:space="preserve"> the changes, to differentiate from what is not changing, and change font to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845F8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sz w:val="24"/>
                <w:szCs w:val="24"/>
              </w:rPr>
              <w:t>for what is being deleted.</w:t>
            </w:r>
          </w:p>
          <w:p w:rsidR="0065207F" w:rsidRPr="00845F8F" w:rsidRDefault="0065207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30D0E" w:rsidRDefault="00E30D0E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085" w:rsidRDefault="00352085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Additional Admission Requirements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W.A. </w:t>
            </w:r>
            <w:proofErr w:type="spell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College of Business (FCB)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offer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more than a dozen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non-degree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undergraduate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certificates, some of which are open to all Northern Arizona University students.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220D24" w:rsidRPr="00220D24" w:rsidRDefault="00220D24" w:rsidP="00220D24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numPr>
                <w:ilvl w:val="0"/>
                <w:numId w:val="1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Major status in </w:t>
            </w:r>
            <w:proofErr w:type="gram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</w:p>
          <w:p w:rsidR="00220D24" w:rsidRPr="00220D24" w:rsidRDefault="00220D24" w:rsidP="00220D24">
            <w:pPr>
              <w:pStyle w:val="Heading4"/>
              <w:numPr>
                <w:ilvl w:val="0"/>
                <w:numId w:val="1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Or a 2.75 cumulative grade point average (GPA) with at least 30 units earned</w:t>
            </w:r>
          </w:p>
          <w:p w:rsidR="00220D24" w:rsidRPr="00220D24" w:rsidRDefault="00220D24" w:rsidP="00220D24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220D24" w:rsidRPr="00220D24" w:rsidRDefault="00220D24" w:rsidP="00220D24">
            <w:pPr>
              <w:rPr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majors, contact the Office of Academic Services in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 will allow you, as a non-FCB student, to take an eligible FCB certificate program if you have a 2.75 cumulative grade point average (GPA), and at least 30 units earned.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If you have a GPA of less than 2.75 but at least 2.5, we will admit you into an eligible certificate plan on a space-available basis. </w:t>
            </w: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If you are not a business major, but wish to complete a certificate through 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Business, you must apply to the Office of Academic Services. Please note that non-business majors.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Because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lastRenderedPageBreak/>
              <w:t>non-FCB students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are not allowed to take more than 27 units of business classes with the FCB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, and because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Also note that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most upper-division business courses require admission to the Business Professional Program or a waiver of prerequisite,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non-FCB students must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.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Please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visit the FCB Office of Academic Services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for more information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before pursuing an FCB certificate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220D24" w:rsidRPr="00220D24" w:rsidRDefault="00220D24" w:rsidP="00220D2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The FCB does not accept upper-division transfer credits from programs not accredited by the AACSB (such as the University of Phoenix or the Bachelor of Business Administration program at NAU).</w:t>
            </w:r>
          </w:p>
          <w:p w:rsidR="00220D24" w:rsidRPr="00220D24" w:rsidRDefault="00220D24" w:rsidP="00220D24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352085" w:rsidRPr="00220D24" w:rsidRDefault="00220D24" w:rsidP="00220D24">
            <w:pPr>
              <w:rPr>
                <w:rFonts w:ascii="Tahoma" w:hAnsi="Tahoma" w:cs="Tahoma"/>
                <w:sz w:val="24"/>
                <w:szCs w:val="24"/>
              </w:rPr>
            </w:pP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Finally, you should know that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ou must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have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complete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at least 6 units of certificate coursework that are not used in your major, minor, or other certificates, and you must complete at least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6 units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60%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of certificate coursework at Northern Arizona University.</w:t>
            </w:r>
          </w:p>
          <w:p w:rsidR="007C44F3" w:rsidRPr="00845F8F" w:rsidRDefault="007C44F3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D1975" w:rsidRDefault="007D1975" w:rsidP="007D1975">
      <w:pPr>
        <w:rPr>
          <w:rFonts w:ascii="Arial" w:hAnsi="Arial" w:cs="Arial"/>
          <w:sz w:val="24"/>
          <w:szCs w:val="24"/>
        </w:rPr>
      </w:pPr>
    </w:p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5A721B" w:rsidRPr="00220D24" w:rsidRDefault="00220D24" w:rsidP="005A721B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This proposal is to rephrase the additional admission requirements found in our Undergraduate Certificates.  We find the current version is too confusing for students. </w:t>
      </w:r>
    </w:p>
    <w:p w:rsidR="007A7458" w:rsidRPr="00220D24" w:rsidRDefault="007A7458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5A721B" w:rsidRDefault="005A721B" w:rsidP="0065207F">
      <w:pPr>
        <w:rPr>
          <w:rFonts w:ascii="Arial" w:hAnsi="Arial" w:cs="Arial"/>
          <w:sz w:val="24"/>
          <w:szCs w:val="24"/>
        </w:rPr>
      </w:pPr>
    </w:p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06024A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06024A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06024A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8B3ACA" w:rsidRDefault="008B3ACA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3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Yes </w:t>
      </w:r>
      <w:r w:rsidR="0006024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 w:rsidRPr="00360614">
        <w:rPr>
          <w:rFonts w:ascii="Arial" w:hAnsi="Arial" w:cs="Arial"/>
          <w:sz w:val="24"/>
          <w:szCs w:val="24"/>
        </w:rPr>
        <w:t xml:space="preserve">    No </w:t>
      </w:r>
      <w:r w:rsidR="0006024A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      If yes, describe the impact and</w:t>
      </w:r>
      <w:r w:rsidR="00CA6369">
        <w:rPr>
          <w:rFonts w:ascii="Arial" w:hAnsi="Arial" w:cs="Arial"/>
          <w:sz w:val="24"/>
          <w:szCs w:val="24"/>
        </w:rPr>
        <w:t xml:space="preserve"> </w:t>
      </w:r>
      <w:r w:rsidR="00C3660C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 xml:space="preserve">a </w:t>
      </w:r>
      <w:r w:rsidRPr="00CA6369">
        <w:rPr>
          <w:rFonts w:ascii="Arial" w:hAnsi="Arial" w:cs="Arial"/>
          <w:sz w:val="24"/>
          <w:szCs w:val="24"/>
        </w:rPr>
        <w:t>letter of response</w:t>
      </w:r>
      <w:r w:rsidR="00CA6369">
        <w:rPr>
          <w:rFonts w:ascii="Arial" w:hAnsi="Arial" w:cs="Arial"/>
          <w:sz w:val="24"/>
          <w:szCs w:val="24"/>
        </w:rPr>
        <w:t xml:space="preserve"> from </w:t>
      </w:r>
      <w:r w:rsidR="005E4D2D">
        <w:rPr>
          <w:rFonts w:ascii="Arial" w:hAnsi="Arial" w:cs="Arial"/>
          <w:sz w:val="24"/>
          <w:szCs w:val="24"/>
        </w:rPr>
        <w:t xml:space="preserve">each </w:t>
      </w:r>
      <w:r w:rsidR="00CA6369">
        <w:rPr>
          <w:rFonts w:ascii="Arial" w:hAnsi="Arial" w:cs="Arial"/>
          <w:sz w:val="24"/>
          <w:szCs w:val="24"/>
        </w:rPr>
        <w:t xml:space="preserve">impacted academic unit. </w:t>
      </w:r>
      <w:r w:rsidRPr="00360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6369" w:rsidRPr="008B3ACA" w:rsidRDefault="00CA6369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8F62B2" w:rsidRDefault="00AD6D73" w:rsidP="00AD6D73">
      <w:pPr>
        <w:shd w:val="clear" w:color="auto" w:fill="D9D9D9" w:themeFill="background1" w:themeFillShade="D9"/>
        <w:tabs>
          <w:tab w:val="left" w:pos="18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62B2" w:rsidRDefault="008F62B2" w:rsidP="008F62B2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A45E05" w:rsidRDefault="00A45E0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 xml:space="preserve">have 24 units of unique required </w:t>
      </w:r>
      <w:r>
        <w:rPr>
          <w:rFonts w:ascii="Arial" w:hAnsi="Arial" w:cs="Arial"/>
          <w:sz w:val="24"/>
          <w:szCs w:val="24"/>
        </w:rPr>
        <w:lastRenderedPageBreak/>
        <w:t>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06024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328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06024A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</w:t>
      </w:r>
      <w:r w:rsidR="00E215D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06024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5E05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06024A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2B1A53">
        <w:rPr>
          <w:rFonts w:ascii="Arial" w:hAnsi="Arial" w:cs="Arial"/>
          <w:sz w:val="24"/>
          <w:szCs w:val="24"/>
        </w:rPr>
        <w:fldChar w:fldCharType="end"/>
      </w:r>
    </w:p>
    <w:p w:rsidR="007A7458" w:rsidRPr="00CC5FEA" w:rsidRDefault="007A7458" w:rsidP="00552434">
      <w:pPr>
        <w:rPr>
          <w:rFonts w:ascii="Arial" w:hAnsi="Arial" w:cs="Arial"/>
          <w:sz w:val="24"/>
          <w:szCs w:val="24"/>
        </w:rPr>
      </w:pPr>
    </w:p>
    <w:p w:rsidR="005735CD" w:rsidRDefault="00E215D7" w:rsidP="005735CD">
      <w:r>
        <w:t xml:space="preserve">     </w:t>
      </w: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06024A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06024A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8F40EF" w:rsidRDefault="008F40EF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Pr="0027415E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06024A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06024A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D1166C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A7458" w:rsidRPr="0027415E" w:rsidRDefault="007A7458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61DF6" w:rsidRDefault="00761DF6" w:rsidP="00761DF6"/>
    <w:p w:rsidR="00FA2535" w:rsidRDefault="00FA2535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1822EB" w:rsidP="0018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10/14/</w:t>
            </w:r>
            <w:r w:rsidR="00A45E05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107BFB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9D2245"/>
          <w:p w:rsidR="00107BFB" w:rsidRDefault="00107BFB" w:rsidP="009D2245">
            <w:r>
              <w:t>Eric Yordy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9D2245">
            <w:r>
              <w:t>12/18/13</w:t>
            </w:r>
          </w:p>
        </w:tc>
      </w:tr>
      <w:tr w:rsidR="00107BFB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07BFB" w:rsidRDefault="00107BFB" w:rsidP="00285116"/>
        </w:tc>
      </w:tr>
      <w:tr w:rsidR="00107BFB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/>
        </w:tc>
      </w:tr>
      <w:tr w:rsidR="00107BFB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07BFB" w:rsidRDefault="00107BFB" w:rsidP="00285116"/>
        </w:tc>
      </w:tr>
      <w:tr w:rsidR="00107BFB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9D2245"/>
          <w:p w:rsidR="00107BFB" w:rsidRDefault="00107BFB" w:rsidP="009D2245">
            <w:r>
              <w:t>Eric Yordy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9D2245">
            <w:r>
              <w:t>12/18/13</w:t>
            </w:r>
          </w:p>
        </w:tc>
      </w:tr>
      <w:tr w:rsidR="00107BFB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07BFB" w:rsidTr="00285116">
        <w:tc>
          <w:tcPr>
            <w:tcW w:w="9018" w:type="dxa"/>
            <w:shd w:val="clear" w:color="auto" w:fill="DDD9C3" w:themeFill="background2" w:themeFillShade="E6"/>
          </w:tcPr>
          <w:p w:rsidR="00107BFB" w:rsidRDefault="00107BFB" w:rsidP="00285116"/>
          <w:p w:rsidR="00107BFB" w:rsidRDefault="00107BFB" w:rsidP="00285116"/>
        </w:tc>
        <w:tc>
          <w:tcPr>
            <w:tcW w:w="1980" w:type="dxa"/>
            <w:shd w:val="clear" w:color="auto" w:fill="DDD9C3" w:themeFill="background2" w:themeFillShade="E6"/>
          </w:tcPr>
          <w:p w:rsidR="00107BFB" w:rsidRDefault="00107BFB" w:rsidP="00285116"/>
        </w:tc>
      </w:tr>
      <w:tr w:rsidR="00107BFB" w:rsidTr="00285116">
        <w:tc>
          <w:tcPr>
            <w:tcW w:w="9018" w:type="dxa"/>
            <w:shd w:val="clear" w:color="auto" w:fill="DDD9C3" w:themeFill="background2" w:themeFillShade="E6"/>
          </w:tcPr>
          <w:p w:rsidR="00107BFB" w:rsidRDefault="00107BFB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07BFB" w:rsidRDefault="00107BFB" w:rsidP="00285116"/>
        </w:tc>
        <w:tc>
          <w:tcPr>
            <w:tcW w:w="1980" w:type="dxa"/>
            <w:shd w:val="clear" w:color="auto" w:fill="DDD9C3" w:themeFill="background2" w:themeFillShade="E6"/>
          </w:tcPr>
          <w:p w:rsidR="00107BFB" w:rsidRDefault="00107BFB" w:rsidP="00285116"/>
        </w:tc>
      </w:tr>
      <w:tr w:rsidR="00107BFB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/>
        </w:tc>
      </w:tr>
      <w:tr w:rsidR="00107BFB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07BFB" w:rsidRDefault="00107BFB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07BFB" w:rsidRDefault="00107BFB" w:rsidP="00285116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0602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0602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0602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0602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285116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bookmarkStart w:id="4" w:name="_GoBack"/>
            <w:bookmarkEnd w:id="4"/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0602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0602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0602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0602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6024A">
        <w:rPr>
          <w:rFonts w:ascii="Arial" w:hAnsi="Arial" w:cs="Arial"/>
          <w:sz w:val="24"/>
          <w:szCs w:val="24"/>
        </w:rPr>
      </w:r>
      <w:r w:rsidR="0006024A">
        <w:rPr>
          <w:rFonts w:ascii="Arial" w:hAnsi="Arial" w:cs="Arial"/>
          <w:sz w:val="24"/>
          <w:szCs w:val="24"/>
        </w:rPr>
        <w:fldChar w:fldCharType="separate"/>
      </w:r>
      <w:r w:rsidR="0006024A" w:rsidRPr="00313AE8">
        <w:rPr>
          <w:rFonts w:ascii="Arial" w:hAnsi="Arial" w:cs="Arial"/>
          <w:sz w:val="24"/>
          <w:szCs w:val="24"/>
        </w:rPr>
        <w:fldChar w:fldCharType="end"/>
      </w:r>
    </w:p>
    <w:p w:rsidR="00350A98" w:rsidRPr="00350A98" w:rsidRDefault="00350A98">
      <w:pPr>
        <w:rPr>
          <w:rFonts w:ascii="Arial" w:hAnsi="Arial" w:cs="Arial"/>
          <w:sz w:val="24"/>
          <w:szCs w:val="24"/>
        </w:rPr>
      </w:pPr>
    </w:p>
    <w:sectPr w:rsidR="00350A98" w:rsidRPr="00350A98" w:rsidSect="001A02A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C9" w:rsidRDefault="008637C9" w:rsidP="00233561">
      <w:r>
        <w:separator/>
      </w:r>
    </w:p>
  </w:endnote>
  <w:endnote w:type="continuationSeparator" w:id="0">
    <w:p w:rsidR="008637C9" w:rsidRDefault="008637C9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9" w:rsidRDefault="0006024A">
    <w:pPr>
      <w:pStyle w:val="Footer"/>
    </w:pPr>
    <w:r>
      <w:rPr>
        <w:noProof/>
      </w:rPr>
      <w:pict>
        <v:rect id="Rectangle 40" o:spid="_x0000_s2050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<w10:wrap anchorx="page" anchory="page"/>
        </v:rect>
      </w:pict>
    </w:r>
    <w:r w:rsidR="008637C9">
      <w:rPr>
        <w:color w:val="4F81BD" w:themeColor="accent1"/>
      </w:rPr>
      <w:t>Fall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C9" w:rsidRDefault="008637C9" w:rsidP="00233561">
      <w:r>
        <w:separator/>
      </w:r>
    </w:p>
  </w:footnote>
  <w:footnote w:type="continuationSeparator" w:id="0">
    <w:p w:rsidR="008637C9" w:rsidRDefault="008637C9" w:rsidP="0023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2C3"/>
    <w:multiLevelType w:val="hybridMultilevel"/>
    <w:tmpl w:val="AE7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62AD"/>
    <w:multiLevelType w:val="hybridMultilevel"/>
    <w:tmpl w:val="8C307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0615A"/>
    <w:rsid w:val="00041842"/>
    <w:rsid w:val="000514D4"/>
    <w:rsid w:val="00051D13"/>
    <w:rsid w:val="0006024A"/>
    <w:rsid w:val="00072E96"/>
    <w:rsid w:val="00083DF5"/>
    <w:rsid w:val="000851E8"/>
    <w:rsid w:val="000A3ADE"/>
    <w:rsid w:val="000B2CE9"/>
    <w:rsid w:val="000C0A09"/>
    <w:rsid w:val="000D0D4F"/>
    <w:rsid w:val="00103A43"/>
    <w:rsid w:val="00107BFB"/>
    <w:rsid w:val="00111B8E"/>
    <w:rsid w:val="00123DB0"/>
    <w:rsid w:val="00126CE8"/>
    <w:rsid w:val="00147718"/>
    <w:rsid w:val="00167158"/>
    <w:rsid w:val="001822EB"/>
    <w:rsid w:val="001A02A7"/>
    <w:rsid w:val="001D6A92"/>
    <w:rsid w:val="001F38E4"/>
    <w:rsid w:val="001F4EA1"/>
    <w:rsid w:val="00203C77"/>
    <w:rsid w:val="00220D24"/>
    <w:rsid w:val="00231555"/>
    <w:rsid w:val="00233561"/>
    <w:rsid w:val="0024086B"/>
    <w:rsid w:val="00241E16"/>
    <w:rsid w:val="00243B99"/>
    <w:rsid w:val="00255F08"/>
    <w:rsid w:val="00260623"/>
    <w:rsid w:val="00261D99"/>
    <w:rsid w:val="00272AFE"/>
    <w:rsid w:val="00273036"/>
    <w:rsid w:val="00285116"/>
    <w:rsid w:val="00287DE0"/>
    <w:rsid w:val="002A6916"/>
    <w:rsid w:val="002A7477"/>
    <w:rsid w:val="002B1A53"/>
    <w:rsid w:val="002B2123"/>
    <w:rsid w:val="002C08CF"/>
    <w:rsid w:val="00332F9A"/>
    <w:rsid w:val="0034234E"/>
    <w:rsid w:val="00350A98"/>
    <w:rsid w:val="00352085"/>
    <w:rsid w:val="003840CC"/>
    <w:rsid w:val="003A6967"/>
    <w:rsid w:val="003D017F"/>
    <w:rsid w:val="003D4C28"/>
    <w:rsid w:val="003E0989"/>
    <w:rsid w:val="00400980"/>
    <w:rsid w:val="00411128"/>
    <w:rsid w:val="00440707"/>
    <w:rsid w:val="00444C8E"/>
    <w:rsid w:val="004652CE"/>
    <w:rsid w:val="004839A5"/>
    <w:rsid w:val="004875E5"/>
    <w:rsid w:val="004A4315"/>
    <w:rsid w:val="004D2D69"/>
    <w:rsid w:val="004F3222"/>
    <w:rsid w:val="004F7394"/>
    <w:rsid w:val="00523703"/>
    <w:rsid w:val="00527409"/>
    <w:rsid w:val="00534969"/>
    <w:rsid w:val="00552434"/>
    <w:rsid w:val="005735CD"/>
    <w:rsid w:val="00573768"/>
    <w:rsid w:val="0058038B"/>
    <w:rsid w:val="005A721B"/>
    <w:rsid w:val="005C15AE"/>
    <w:rsid w:val="005C4B2A"/>
    <w:rsid w:val="005C7D6A"/>
    <w:rsid w:val="005E0B97"/>
    <w:rsid w:val="005E15CA"/>
    <w:rsid w:val="005E4D2D"/>
    <w:rsid w:val="0060539F"/>
    <w:rsid w:val="0062365E"/>
    <w:rsid w:val="0062527D"/>
    <w:rsid w:val="0065207F"/>
    <w:rsid w:val="00653D6E"/>
    <w:rsid w:val="006774DA"/>
    <w:rsid w:val="006A1870"/>
    <w:rsid w:val="006A70C1"/>
    <w:rsid w:val="006C069B"/>
    <w:rsid w:val="006C5A6A"/>
    <w:rsid w:val="006C7348"/>
    <w:rsid w:val="006D578A"/>
    <w:rsid w:val="006F14EB"/>
    <w:rsid w:val="006F5FFA"/>
    <w:rsid w:val="00700C15"/>
    <w:rsid w:val="007071CB"/>
    <w:rsid w:val="00711AC4"/>
    <w:rsid w:val="00716ABB"/>
    <w:rsid w:val="00721005"/>
    <w:rsid w:val="00734853"/>
    <w:rsid w:val="00753AFA"/>
    <w:rsid w:val="00761DF6"/>
    <w:rsid w:val="0077023D"/>
    <w:rsid w:val="007A45A6"/>
    <w:rsid w:val="007A4975"/>
    <w:rsid w:val="007A7458"/>
    <w:rsid w:val="007C44F3"/>
    <w:rsid w:val="007D1975"/>
    <w:rsid w:val="007F2808"/>
    <w:rsid w:val="00811C35"/>
    <w:rsid w:val="00845F8F"/>
    <w:rsid w:val="008637C9"/>
    <w:rsid w:val="00883B8D"/>
    <w:rsid w:val="00893A71"/>
    <w:rsid w:val="00893E23"/>
    <w:rsid w:val="008A03E0"/>
    <w:rsid w:val="008B3ACA"/>
    <w:rsid w:val="008F40EF"/>
    <w:rsid w:val="008F62B2"/>
    <w:rsid w:val="00910769"/>
    <w:rsid w:val="00910E9D"/>
    <w:rsid w:val="009213C1"/>
    <w:rsid w:val="00960F51"/>
    <w:rsid w:val="00967B62"/>
    <w:rsid w:val="00974DE4"/>
    <w:rsid w:val="009857E6"/>
    <w:rsid w:val="00990069"/>
    <w:rsid w:val="009B3949"/>
    <w:rsid w:val="009C1083"/>
    <w:rsid w:val="009C75F7"/>
    <w:rsid w:val="009F0BFA"/>
    <w:rsid w:val="009F5529"/>
    <w:rsid w:val="00A14983"/>
    <w:rsid w:val="00A22AC3"/>
    <w:rsid w:val="00A45E05"/>
    <w:rsid w:val="00A6388B"/>
    <w:rsid w:val="00A65726"/>
    <w:rsid w:val="00A9284E"/>
    <w:rsid w:val="00A9663D"/>
    <w:rsid w:val="00AB7DBA"/>
    <w:rsid w:val="00AD50F2"/>
    <w:rsid w:val="00AD6D73"/>
    <w:rsid w:val="00B31069"/>
    <w:rsid w:val="00B358CF"/>
    <w:rsid w:val="00B72D48"/>
    <w:rsid w:val="00B841EA"/>
    <w:rsid w:val="00B84B78"/>
    <w:rsid w:val="00B96C52"/>
    <w:rsid w:val="00BA6B8A"/>
    <w:rsid w:val="00C3660C"/>
    <w:rsid w:val="00C42CC0"/>
    <w:rsid w:val="00C6101A"/>
    <w:rsid w:val="00C61F9F"/>
    <w:rsid w:val="00CA6369"/>
    <w:rsid w:val="00CD3DF5"/>
    <w:rsid w:val="00CD7A67"/>
    <w:rsid w:val="00CE4E0C"/>
    <w:rsid w:val="00CF30DD"/>
    <w:rsid w:val="00D1166C"/>
    <w:rsid w:val="00D27B18"/>
    <w:rsid w:val="00D6555E"/>
    <w:rsid w:val="00D928DB"/>
    <w:rsid w:val="00DA02C7"/>
    <w:rsid w:val="00DA7328"/>
    <w:rsid w:val="00DC4671"/>
    <w:rsid w:val="00DD1AD9"/>
    <w:rsid w:val="00DF6505"/>
    <w:rsid w:val="00E215D7"/>
    <w:rsid w:val="00E30D0E"/>
    <w:rsid w:val="00E3390A"/>
    <w:rsid w:val="00E635F3"/>
    <w:rsid w:val="00E70000"/>
    <w:rsid w:val="00E81783"/>
    <w:rsid w:val="00E81838"/>
    <w:rsid w:val="00E84073"/>
    <w:rsid w:val="00E93E74"/>
    <w:rsid w:val="00EA29B6"/>
    <w:rsid w:val="00EC2F62"/>
    <w:rsid w:val="00EE2807"/>
    <w:rsid w:val="00F1711F"/>
    <w:rsid w:val="00F33E64"/>
    <w:rsid w:val="00F53D53"/>
    <w:rsid w:val="00F54A7C"/>
    <w:rsid w:val="00F570EA"/>
    <w:rsid w:val="00FA2535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1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33E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4.nau.edu/avpaa/timelines/1213Effective.xls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atalo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nau.edu/avpaa/Assessment/ProgramLearningOutcomesPDF_0907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u.edu/gradcol/UGC/UGC_FastTrack_Policy&amp;Proc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FastTrack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FA6AD-AD22-44C3-AE3F-8507396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9</cp:revision>
  <dcterms:created xsi:type="dcterms:W3CDTF">2013-07-31T20:47:00Z</dcterms:created>
  <dcterms:modified xsi:type="dcterms:W3CDTF">2013-12-20T21:28:00Z</dcterms:modified>
</cp:coreProperties>
</file>