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285116">
        <w:rPr>
          <w:rFonts w:ascii="Arial" w:hAnsi="Arial" w:cs="Arial"/>
          <w:b/>
          <w:sz w:val="36"/>
          <w:szCs w:val="36"/>
          <w:highlight w:val="yellow"/>
          <w:u w:val="single"/>
        </w:rPr>
        <w:t>UCC</w:t>
      </w:r>
      <w:r w:rsidRPr="00A96A49">
        <w:rPr>
          <w:rFonts w:ascii="Arial" w:hAnsi="Arial" w:cs="Arial"/>
          <w:b/>
          <w:sz w:val="36"/>
          <w:szCs w:val="36"/>
        </w:rPr>
        <w:t>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285116">
        <w:rPr>
          <w:rFonts w:ascii="Arial" w:hAnsi="Arial" w:cs="Arial"/>
          <w:b/>
          <w:sz w:val="28"/>
          <w:szCs w:val="28"/>
          <w:highlight w:val="yellow"/>
          <w:u w:val="single"/>
        </w:rPr>
        <w:t>Plan Change</w:t>
      </w:r>
      <w:r w:rsidRPr="00BF0859">
        <w:rPr>
          <w:rFonts w:ascii="Arial" w:hAnsi="Arial" w:cs="Arial"/>
          <w:sz w:val="28"/>
          <w:szCs w:val="28"/>
        </w:rPr>
        <w:t xml:space="preserve">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472A33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DA73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Refer to </w:t>
            </w:r>
            <w:hyperlink r:id="rId9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UCC</w:t>
              </w:r>
            </w:hyperlink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UGC</w:t>
              </w:r>
            </w:hyperlink>
            <w:r w:rsid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E0C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Fast T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rack Policy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170"/>
        <w:gridCol w:w="180"/>
        <w:gridCol w:w="900"/>
        <w:gridCol w:w="990"/>
        <w:gridCol w:w="198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A45E05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147718" w:rsidRDefault="00534969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otel and Restaurant Management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3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52085">
        <w:trPr>
          <w:trHeight w:val="432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352085" w:rsidP="00352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Hospitality Marketing and Sales; UCERT (HMKSCT)</w:t>
            </w:r>
          </w:p>
        </w:tc>
        <w:tc>
          <w:tcPr>
            <w:tcW w:w="2070" w:type="dxa"/>
            <w:gridSpan w:val="3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22AC3" w:rsidRPr="00F33E64" w:rsidRDefault="00A22AC3" w:rsidP="00A22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472A33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28511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472A33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472A33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472A33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472A33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28"/>
        <w:gridCol w:w="5580"/>
      </w:tblGrid>
      <w:tr w:rsidR="0065207F" w:rsidTr="00E30D0E">
        <w:tc>
          <w:tcPr>
            <w:tcW w:w="532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9F5529" w:rsidRPr="00B90FA0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FA0" w:rsidRPr="00B90FA0" w:rsidRDefault="00B90FA0" w:rsidP="00B90FA0">
            <w:pPr>
              <w:tabs>
                <w:tab w:val="left" w:pos="5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t>The students will be able to:</w:t>
            </w:r>
            <w:r w:rsidRPr="00B90FA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90FA0" w:rsidRPr="00B90FA0" w:rsidRDefault="00B90FA0" w:rsidP="00B90FA0">
            <w:pPr>
              <w:rPr>
                <w:rFonts w:ascii="Arial" w:hAnsi="Arial" w:cs="Arial"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t>1. Develop the background and skills necessary to conceive and create a successful marketing and sales plan, from initial concept to final execution.</w:t>
            </w:r>
          </w:p>
          <w:p w:rsidR="00B90FA0" w:rsidRPr="00B90FA0" w:rsidRDefault="00B90FA0" w:rsidP="00B90FA0">
            <w:pPr>
              <w:rPr>
                <w:rFonts w:ascii="Arial" w:hAnsi="Arial" w:cs="Arial"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t>2. Describe the various elements of the sales and marketing fields and apply them to real-life situations.</w:t>
            </w:r>
          </w:p>
          <w:p w:rsidR="00B90FA0" w:rsidRPr="00B90FA0" w:rsidRDefault="00B90FA0" w:rsidP="00B90FA0">
            <w:pPr>
              <w:rPr>
                <w:rFonts w:ascii="Arial" w:hAnsi="Arial" w:cs="Arial"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t>3. Describe how the Internet is changing marketing and sales processes.</w:t>
            </w:r>
          </w:p>
          <w:p w:rsidR="00B90FA0" w:rsidRPr="00B90FA0" w:rsidRDefault="00B90FA0" w:rsidP="00B90FA0">
            <w:pPr>
              <w:rPr>
                <w:rFonts w:ascii="Arial" w:hAnsi="Arial" w:cs="Arial"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t>4. Identify market segments and target markets.</w:t>
            </w:r>
          </w:p>
          <w:p w:rsidR="00B90FA0" w:rsidRPr="00B90FA0" w:rsidRDefault="00B90FA0" w:rsidP="00B90FA0">
            <w:pPr>
              <w:rPr>
                <w:rFonts w:ascii="Arial" w:hAnsi="Arial" w:cs="Arial"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lastRenderedPageBreak/>
              <w:t xml:space="preserve">5. Discuss marketing and sales concepts and principles. </w:t>
            </w:r>
          </w:p>
          <w:p w:rsidR="00B90FA0" w:rsidRPr="00B90FA0" w:rsidRDefault="00B90FA0" w:rsidP="00B90FA0">
            <w:pPr>
              <w:rPr>
                <w:rFonts w:ascii="Arial" w:hAnsi="Arial" w:cs="Arial"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t>6. Examine the major functions that comprise the marketing task and their interactions with consumer behavior.</w:t>
            </w:r>
          </w:p>
          <w:p w:rsidR="00B90FA0" w:rsidRPr="00B90FA0" w:rsidRDefault="00B90FA0" w:rsidP="00B90FA0">
            <w:pPr>
              <w:rPr>
                <w:rFonts w:ascii="Arial" w:hAnsi="Arial" w:cs="Arial"/>
                <w:sz w:val="24"/>
                <w:szCs w:val="24"/>
              </w:rPr>
            </w:pPr>
            <w:r w:rsidRPr="00B90FA0">
              <w:rPr>
                <w:rFonts w:ascii="Arial" w:hAnsi="Arial" w:cs="Arial"/>
                <w:sz w:val="24"/>
                <w:szCs w:val="24"/>
              </w:rPr>
              <w:t>7.  Explain the importance of services in the global economy and the unique challenges involved in marketing and managing services.</w:t>
            </w:r>
          </w:p>
          <w:p w:rsidR="008B3ACA" w:rsidRPr="00126CE8" w:rsidRDefault="008B3ACA" w:rsidP="00126CE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1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5F3" w:rsidRPr="00E635F3" w:rsidRDefault="00E635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5F3">
              <w:rPr>
                <w:rFonts w:ascii="Arial" w:hAnsi="Arial" w:cs="Arial"/>
                <w:b/>
                <w:sz w:val="24"/>
                <w:szCs w:val="24"/>
              </w:rPr>
              <w:t>UNCHANGED</w:t>
            </w:r>
          </w:p>
          <w:p w:rsidR="0065207F" w:rsidRDefault="0065207F" w:rsidP="005C15AE"/>
        </w:tc>
      </w:tr>
      <w:tr w:rsidR="0065207F" w:rsidRPr="00845F8F" w:rsidTr="00E30D0E">
        <w:tc>
          <w:tcPr>
            <w:tcW w:w="5328" w:type="dxa"/>
          </w:tcPr>
          <w:p w:rsidR="0065207F" w:rsidRPr="00845F8F" w:rsidRDefault="00472A33" w:rsidP="0065207F">
            <w:pPr>
              <w:pStyle w:val="Heading3"/>
              <w:spacing w:line="260" w:lineRule="auto"/>
              <w:outlineLvl w:val="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0C0A09" w:rsidRPr="005821C8" w:rsidRDefault="000C0A09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 w:rsidRPr="00845F8F">
              <w:rPr>
                <w:rFonts w:ascii="Tahoma" w:hAnsi="Tahoma" w:cs="Tahoma"/>
                <w:b w:val="0"/>
                <w:szCs w:val="24"/>
              </w:rPr>
              <w:t>7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.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Current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catalog plan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overview and </w:t>
            </w:r>
            <w:r w:rsidR="006C069B" w:rsidRPr="00845F8F">
              <w:rPr>
                <w:rFonts w:ascii="Tahoma" w:hAnsi="Tahoma" w:cs="Tahoma"/>
                <w:b w:val="0"/>
                <w:szCs w:val="24"/>
              </w:rPr>
              <w:t>requirements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in this column. Cut and paste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the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O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verview</w:t>
            </w:r>
            <w:r w:rsidR="00287DE0" w:rsidRPr="00845F8F">
              <w:rPr>
                <w:rFonts w:ascii="Tahoma" w:hAnsi="Tahoma" w:cs="Tahoma"/>
                <w:b w:val="0"/>
                <w:i/>
                <w:szCs w:val="24"/>
              </w:rPr>
              <w:t xml:space="preserve">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and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D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etails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tabs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, in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>their en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>tirety, from the current on-line academic catalog:</w:t>
            </w:r>
            <w:r w:rsidR="0065207F" w:rsidRPr="00845F8F">
              <w:rPr>
                <w:rFonts w:ascii="Tahoma" w:hAnsi="Tahoma" w:cs="Tahoma"/>
                <w:szCs w:val="24"/>
              </w:rPr>
              <w:t xml:space="preserve"> (</w:t>
            </w:r>
            <w:hyperlink r:id="rId12" w:history="1">
              <w:r w:rsidR="005E15CA" w:rsidRPr="00845F8F">
                <w:rPr>
                  <w:rStyle w:val="Hyperlink"/>
                  <w:rFonts w:ascii="Tahoma" w:hAnsi="Tahoma" w:cs="Tahoma"/>
                  <w:szCs w:val="24"/>
                </w:rPr>
                <w:t>http://catalog.nau.edu/Catalog/</w:t>
              </w:r>
            </w:hyperlink>
            <w:r w:rsidR="0065207F" w:rsidRPr="00845F8F">
              <w:rPr>
                <w:rFonts w:ascii="Tahoma" w:hAnsi="Tahoma" w:cs="Tahoma"/>
                <w:szCs w:val="24"/>
              </w:rPr>
              <w:t>)</w:t>
            </w:r>
          </w:p>
          <w:p w:rsidR="005A721B" w:rsidRDefault="005A721B" w:rsidP="005A721B"/>
          <w:p w:rsidR="00FA2535" w:rsidRDefault="00FA2535" w:rsidP="005A721B"/>
          <w:p w:rsidR="005A721B" w:rsidRPr="00E46206" w:rsidRDefault="005A721B" w:rsidP="005A721B">
            <w:pPr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</w:pPr>
            <w:r w:rsidRPr="00E46206"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  <w:t>Hospitality Marketing and Sales, Undergraduate Certificate</w:t>
            </w:r>
          </w:p>
          <w:p w:rsidR="005A721B" w:rsidRDefault="005A721B" w:rsidP="005A721B"/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pStyle w:val="ListParagraph"/>
              <w:numPr>
                <w:ilvl w:val="0"/>
                <w:numId w:val="49"/>
              </w:num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5A721B" w:rsidRDefault="005A721B" w:rsidP="005A721B"/>
          <w:p w:rsidR="005A721B" w:rsidRDefault="005A721B" w:rsidP="005A721B"/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5"/>
              <w:gridCol w:w="2199"/>
            </w:tblGrid>
            <w:tr w:rsidR="005A721B" w:rsidRPr="005A721B" w:rsidTr="005A721B">
              <w:trPr>
                <w:tblHeader/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5A721B" w:rsidRPr="005A721B" w:rsidTr="005A721B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472A3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5A721B" w:rsidRPr="005A721B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  <w:tr w:rsidR="005A721B" w:rsidRPr="005A721B" w:rsidTr="005A721B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5A721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352085" w:rsidRPr="00E46206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E46206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offer a more than a dozen non-degree certificates, some of which are open to all Northern Arizona University students.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352085" w:rsidRPr="00352085" w:rsidRDefault="00352085" w:rsidP="00352085">
            <w:pPr>
              <w:pStyle w:val="Heading4"/>
              <w:numPr>
                <w:ilvl w:val="0"/>
                <w:numId w:val="48"/>
              </w:numPr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Major status in The W. A.</w:t>
            </w:r>
            <w:proofErr w:type="gram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</w:t>
            </w:r>
          </w:p>
          <w:p w:rsidR="00352085" w:rsidRPr="00352085" w:rsidRDefault="00352085" w:rsidP="00352085">
            <w:pPr>
              <w:pStyle w:val="Heading4"/>
              <w:numPr>
                <w:ilvl w:val="0"/>
                <w:numId w:val="48"/>
              </w:numPr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Or a 2.75 cumulative grade point average (GPA) with at least 30 units earned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The W. A.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Business. If you are not a business major, but wish to complete </w:t>
            </w: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a certificate through The W. A.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Business, you must apply to the Office of Academic Services. Please note that non-business majors are not allowed to take more than 27 units of business classes with the FCB.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Also note that most upper-division business courses require admission to the Business Professional Program or a waiver of prerequisite. Please visit the FCB Office of Academic Services for more information. The FCB does not accept upper-division transfer credits from programs not accredited by the AACSB (such as the University of Phoenix or the Bachelor of Business Administration program at NAU).</w:t>
            </w:r>
          </w:p>
          <w:p w:rsidR="00352085" w:rsidRDefault="00352085" w:rsidP="00352085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A45E05" w:rsidRPr="00352085" w:rsidRDefault="00352085" w:rsidP="00352085">
            <w:pPr>
              <w:rPr>
                <w:rFonts w:ascii="Tahoma" w:hAnsi="Tahoma" w:cs="Tahoma"/>
                <w:sz w:val="24"/>
                <w:szCs w:val="24"/>
              </w:rPr>
            </w:pPr>
            <w:r w:rsidRPr="00352085">
              <w:rPr>
                <w:rFonts w:ascii="Tahoma" w:hAnsi="Tahoma" w:cs="Tahoma"/>
                <w:sz w:val="24"/>
                <w:szCs w:val="24"/>
              </w:rPr>
              <w:t>Finally, you should know that you must have at least 6 units of certificate coursework that are not used in your major, minor, or other certificates, and you must complete at least 6 units of certificate coursework at Northern Arizona University.</w:t>
            </w:r>
          </w:p>
          <w:p w:rsidR="000C0A09" w:rsidRDefault="000C0A09" w:rsidP="000C0A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E46206" w:rsidRDefault="005A721B" w:rsidP="005A721B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E46206">
              <w:rPr>
                <w:rFonts w:ascii="Tahoma" w:hAnsi="Tahoma" w:cs="Tahoma"/>
                <w:i/>
                <w:sz w:val="24"/>
                <w:szCs w:val="24"/>
              </w:rPr>
              <w:t>Certificate Requirements</w:t>
            </w:r>
          </w:p>
          <w:p w:rsidR="005A721B" w:rsidRPr="00E46206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Take the following 15 units:</w:t>
            </w:r>
          </w:p>
          <w:p w:rsidR="005A721B" w:rsidRPr="005A721B" w:rsidRDefault="005A721B" w:rsidP="005A721B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HA 400 (3 units)</w:t>
            </w:r>
          </w:p>
          <w:p w:rsidR="005A721B" w:rsidRPr="005A721B" w:rsidRDefault="005A721B" w:rsidP="005A721B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MKT 333, MKT 334, MKT 337, MKT 436 (12 units)</w:t>
            </w:r>
          </w:p>
          <w:p w:rsid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To complete this certificate you must be a declared Hotel and Restaurant Management Major.</w:t>
            </w: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5A721B" w:rsidRPr="00A45E05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0" w:type="dxa"/>
          </w:tcPr>
          <w:p w:rsidR="0065207F" w:rsidRPr="00845F8F" w:rsidRDefault="0065207F">
            <w:pPr>
              <w:rPr>
                <w:rFonts w:ascii="Tahoma" w:hAnsi="Tahoma" w:cs="Tahoma"/>
                <w:sz w:val="24"/>
                <w:szCs w:val="24"/>
              </w:rPr>
            </w:pPr>
            <w:r w:rsidRPr="00845F8F">
              <w:rPr>
                <w:rFonts w:ascii="Tahoma" w:hAnsi="Tahoma" w:cs="Tahoma"/>
                <w:sz w:val="24"/>
                <w:szCs w:val="24"/>
              </w:rPr>
              <w:lastRenderedPageBreak/>
              <w:t xml:space="preserve">Show the proposed changes in this column. 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Bold</w:t>
            </w:r>
            <w:r w:rsidRPr="00845F8F">
              <w:rPr>
                <w:rFonts w:ascii="Tahoma" w:hAnsi="Tahoma" w:cs="Tahoma"/>
                <w:sz w:val="24"/>
                <w:szCs w:val="24"/>
              </w:rPr>
              <w:t xml:space="preserve"> the changes, to differentiate from what is not changing, and change font to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845F8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sz w:val="24"/>
                <w:szCs w:val="24"/>
              </w:rPr>
              <w:t>for what is being deleted.</w:t>
            </w:r>
          </w:p>
          <w:p w:rsidR="0065207F" w:rsidRPr="00845F8F" w:rsidRDefault="006520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30D0E" w:rsidRDefault="00E30D0E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085" w:rsidRDefault="00352085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E46206" w:rsidRDefault="005A721B" w:rsidP="005A721B">
            <w:pPr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</w:pPr>
            <w:r w:rsidRPr="00E46206">
              <w:rPr>
                <w:rFonts w:ascii="Tahoma" w:hAnsi="Tahoma" w:cs="Tahoma"/>
                <w:i/>
                <w:color w:val="548DD4" w:themeColor="text2" w:themeTint="99"/>
                <w:sz w:val="24"/>
                <w:szCs w:val="24"/>
              </w:rPr>
              <w:t>Hospitality Marketing and Sales, Undergraduate Certificate</w:t>
            </w:r>
          </w:p>
          <w:p w:rsidR="005A721B" w:rsidRDefault="005A721B" w:rsidP="005A721B"/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pStyle w:val="ListParagraph"/>
              <w:numPr>
                <w:ilvl w:val="0"/>
                <w:numId w:val="49"/>
              </w:num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5A721B" w:rsidRDefault="005A721B" w:rsidP="005A721B"/>
          <w:p w:rsidR="005A721B" w:rsidRDefault="005A721B" w:rsidP="005A721B"/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5"/>
              <w:gridCol w:w="2199"/>
            </w:tblGrid>
            <w:tr w:rsidR="005A721B" w:rsidRPr="005A721B" w:rsidTr="00CF4DCC">
              <w:trPr>
                <w:tblHeader/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 w:rsidP="00CF4DC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5A721B" w:rsidP="00CF4DC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5A721B" w:rsidRPr="005A721B" w:rsidTr="00CF4DCC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5A721B" w:rsidRDefault="005A721B" w:rsidP="00CF4DC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721B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5A721B" w:rsidRDefault="00472A33" w:rsidP="00CF4DC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4" w:tgtFrame="_blank" w:history="1">
                    <w:r w:rsidR="005A721B" w:rsidRPr="005A721B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  <w:tr w:rsidR="005A721B" w:rsidRPr="005A721B" w:rsidTr="00CF4DCC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5A721B" w:rsidRPr="00D40612" w:rsidRDefault="005A721B" w:rsidP="00CF4DC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0612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5A721B" w:rsidRPr="00D40612" w:rsidRDefault="005A721B" w:rsidP="00CF4DC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0612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E46206" w:rsidRPr="008072E2" w:rsidRDefault="00E46206" w:rsidP="00E46206">
            <w:pPr>
              <w:pStyle w:val="Heading4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8072E2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E46206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E46206" w:rsidRPr="00220D24" w:rsidRDefault="00E46206" w:rsidP="00E46206">
            <w:pPr>
              <w:rPr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W.A. </w:t>
            </w:r>
            <w:proofErr w:type="spell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College of Business (FCB)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offer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more than a dozen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non-degree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undergraduate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certificates, some of which are open to all Northern Arizona University students.</w:t>
            </w:r>
          </w:p>
          <w:p w:rsidR="00E46206" w:rsidRPr="00220D24" w:rsidRDefault="00E46206" w:rsidP="00E46206">
            <w:pPr>
              <w:rPr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E46206" w:rsidRPr="00220D24" w:rsidRDefault="00E46206" w:rsidP="00E46206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numPr>
                <w:ilvl w:val="0"/>
                <w:numId w:val="48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Major status in </w:t>
            </w:r>
            <w:proofErr w:type="gram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</w:p>
          <w:p w:rsidR="00E46206" w:rsidRPr="00220D24" w:rsidRDefault="00E46206" w:rsidP="00E46206">
            <w:pPr>
              <w:pStyle w:val="Heading4"/>
              <w:numPr>
                <w:ilvl w:val="0"/>
                <w:numId w:val="48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Or a 2.75 cumulative grade point average (GPA) with at least 30 units earned</w:t>
            </w:r>
          </w:p>
          <w:p w:rsidR="00E46206" w:rsidRPr="00220D24" w:rsidRDefault="00E46206" w:rsidP="00E46206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E46206" w:rsidRPr="00220D24" w:rsidRDefault="00E46206" w:rsidP="00E46206">
            <w:pPr>
              <w:rPr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majors, contact the Office of Academic Services in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 will allow you, as a non-FCB student, to take an eligible FCB certificate program if you have a 2.75 cumulative grade point average (GPA), and at least 30 units earned.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If you have a GPA of less than 2.75 but at least 2.5, we will admit you into an eligible certificate plan on a space-available basis. </w:t>
            </w: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Business, you must apply to the Office of Academic Services. Please note that non-business majors.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Because non-FCB students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are not allowed to take more than 27 units of business classes with the FCB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, and because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Also note that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most upper-division business courses require admission to the Business Professional Program or a waiver of prerequisite,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non-FCB students must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.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Please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visit the FCB Office of Academic Services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for more information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before pursuing an FCB certificate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E46206" w:rsidRPr="00220D24" w:rsidRDefault="00E46206" w:rsidP="00E4620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The FCB does not accept upper-division transfer credits from programs not accredited by the AACSB (such as the University of Phoenix or the Bachelor of Business Administration program at NAU).</w:t>
            </w:r>
          </w:p>
          <w:p w:rsidR="00E46206" w:rsidRPr="00220D24" w:rsidRDefault="00E46206" w:rsidP="00E46206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5A721B" w:rsidRPr="00785022" w:rsidRDefault="00E46206" w:rsidP="00E4620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Finally, you should know that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ou must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have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complete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at least 6 units of certificate coursework that are not used in your major, minor, or other certificates, and you must complete at least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 units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60%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of certificate coursework at Northern Arizona University.</w:t>
            </w:r>
          </w:p>
          <w:p w:rsid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E46206" w:rsidRDefault="005A721B" w:rsidP="005A721B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E46206">
              <w:rPr>
                <w:rFonts w:ascii="Tahoma" w:hAnsi="Tahoma" w:cs="Tahoma"/>
                <w:i/>
                <w:sz w:val="24"/>
                <w:szCs w:val="24"/>
              </w:rPr>
              <w:t>Certificate Requirements</w:t>
            </w: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Take the following 15 units:</w:t>
            </w:r>
          </w:p>
          <w:p w:rsidR="005A721B" w:rsidRPr="005A721B" w:rsidRDefault="005A721B" w:rsidP="005A721B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HA 400 (3 units)</w:t>
            </w:r>
          </w:p>
          <w:p w:rsidR="005A721B" w:rsidRPr="005A721B" w:rsidRDefault="005A721B" w:rsidP="005A721B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MKT 333, MKT 334, MKT 337, MKT 436 (12 units)</w:t>
            </w:r>
          </w:p>
          <w:p w:rsid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 xml:space="preserve">To complete this certificate you must be a declared Hotel and Restaurant Management </w:t>
            </w:r>
            <w:r w:rsidRPr="005A721B">
              <w:rPr>
                <w:rFonts w:ascii="Tahoma" w:hAnsi="Tahoma" w:cs="Tahoma"/>
                <w:sz w:val="24"/>
                <w:szCs w:val="24"/>
              </w:rPr>
              <w:lastRenderedPageBreak/>
              <w:t>Major.</w:t>
            </w:r>
          </w:p>
          <w:p w:rsidR="005A721B" w:rsidRPr="005A721B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085" w:rsidRPr="00352085" w:rsidRDefault="005A721B" w:rsidP="005A721B">
            <w:pPr>
              <w:rPr>
                <w:rFonts w:ascii="Tahoma" w:hAnsi="Tahoma" w:cs="Tahoma"/>
                <w:sz w:val="24"/>
                <w:szCs w:val="24"/>
              </w:rPr>
            </w:pPr>
            <w:r w:rsidRPr="005A721B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7C44F3" w:rsidRPr="00845F8F" w:rsidRDefault="007C44F3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975" w:rsidRDefault="007D1975" w:rsidP="007D1975">
      <w:pPr>
        <w:rPr>
          <w:rFonts w:ascii="Arial" w:hAnsi="Arial" w:cs="Arial"/>
          <w:sz w:val="24"/>
          <w:szCs w:val="24"/>
        </w:rPr>
      </w:pPr>
    </w:p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303399" w:rsidRDefault="00E46206" w:rsidP="00303399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220D24">
        <w:rPr>
          <w:rFonts w:ascii="Arial" w:hAnsi="Arial" w:cs="Arial"/>
          <w:b/>
          <w:color w:val="000000"/>
          <w:sz w:val="24"/>
          <w:szCs w:val="24"/>
        </w:rPr>
        <w:t>This proposal is to rephrase the additional admission requirements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We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believe </w:t>
      </w: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the current version is too confusing for students. </w:t>
      </w:r>
    </w:p>
    <w:p w:rsidR="007A7458" w:rsidRDefault="007A7458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5A721B" w:rsidRDefault="005A721B" w:rsidP="0065207F">
      <w:pPr>
        <w:rPr>
          <w:rFonts w:ascii="Arial" w:hAnsi="Arial" w:cs="Arial"/>
          <w:sz w:val="24"/>
          <w:szCs w:val="24"/>
        </w:rPr>
      </w:pPr>
    </w:p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472A33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472A33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472A33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8B3ACA" w:rsidRDefault="008B3ACA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5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Yes </w:t>
      </w:r>
      <w:r w:rsidR="00472A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 w:rsidRPr="00360614">
        <w:rPr>
          <w:rFonts w:ascii="Arial" w:hAnsi="Arial" w:cs="Arial"/>
          <w:sz w:val="24"/>
          <w:szCs w:val="24"/>
        </w:rPr>
        <w:t xml:space="preserve">    No </w:t>
      </w:r>
      <w:r w:rsidR="00472A3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      If yes, describe the impact and</w:t>
      </w:r>
      <w:r w:rsidR="00CA6369">
        <w:rPr>
          <w:rFonts w:ascii="Arial" w:hAnsi="Arial" w:cs="Arial"/>
          <w:sz w:val="24"/>
          <w:szCs w:val="24"/>
        </w:rPr>
        <w:t xml:space="preserve"> </w:t>
      </w:r>
      <w:r w:rsidR="00C3660C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 xml:space="preserve">a </w:t>
      </w:r>
      <w:r w:rsidRPr="00CA6369">
        <w:rPr>
          <w:rFonts w:ascii="Arial" w:hAnsi="Arial" w:cs="Arial"/>
          <w:sz w:val="24"/>
          <w:szCs w:val="24"/>
        </w:rPr>
        <w:t>letter of response</w:t>
      </w:r>
      <w:r w:rsidR="00CA6369">
        <w:rPr>
          <w:rFonts w:ascii="Arial" w:hAnsi="Arial" w:cs="Arial"/>
          <w:sz w:val="24"/>
          <w:szCs w:val="24"/>
        </w:rPr>
        <w:t xml:space="preserve"> from </w:t>
      </w:r>
      <w:r w:rsidR="005E4D2D">
        <w:rPr>
          <w:rFonts w:ascii="Arial" w:hAnsi="Arial" w:cs="Arial"/>
          <w:sz w:val="24"/>
          <w:szCs w:val="24"/>
        </w:rPr>
        <w:t xml:space="preserve">each </w:t>
      </w:r>
      <w:r w:rsidR="00CA6369">
        <w:rPr>
          <w:rFonts w:ascii="Arial" w:hAnsi="Arial" w:cs="Arial"/>
          <w:sz w:val="24"/>
          <w:szCs w:val="24"/>
        </w:rPr>
        <w:t xml:space="preserve">impacted academic unit. </w:t>
      </w:r>
      <w:r w:rsidRPr="00360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62B2" w:rsidRDefault="008F62B2" w:rsidP="008F62B2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A45E05" w:rsidRDefault="00A45E0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472A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32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472A33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</w:t>
      </w:r>
      <w:r w:rsidR="00E215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472A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5E05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472A33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2B1A53">
        <w:rPr>
          <w:rFonts w:ascii="Arial" w:hAnsi="Arial" w:cs="Arial"/>
          <w:sz w:val="24"/>
          <w:szCs w:val="24"/>
        </w:rPr>
        <w:fldChar w:fldCharType="end"/>
      </w:r>
    </w:p>
    <w:p w:rsidR="007A7458" w:rsidRPr="00CC5FEA" w:rsidRDefault="007A7458" w:rsidP="00552434">
      <w:pPr>
        <w:rPr>
          <w:rFonts w:ascii="Arial" w:hAnsi="Arial" w:cs="Arial"/>
          <w:sz w:val="24"/>
          <w:szCs w:val="24"/>
        </w:rPr>
      </w:pPr>
    </w:p>
    <w:p w:rsidR="005735CD" w:rsidRDefault="00E215D7" w:rsidP="005735CD">
      <w:r>
        <w:t xml:space="preserve">     </w:t>
      </w: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472A33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472A33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472A33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472A33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7A7458" w:rsidRPr="0027415E" w:rsidRDefault="007A7458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61DF6" w:rsidRDefault="00761DF6" w:rsidP="00761DF6"/>
    <w:p w:rsidR="00FA2535" w:rsidRDefault="00FA2535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B90FA0" w:rsidP="00E462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10/21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/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285116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bookmarkStart w:id="4" w:name="_GoBack"/>
            <w:bookmarkEnd w:id="4"/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472A33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472A33">
        <w:rPr>
          <w:rFonts w:ascii="Arial" w:hAnsi="Arial" w:cs="Arial"/>
          <w:sz w:val="24"/>
          <w:szCs w:val="24"/>
        </w:rPr>
      </w:r>
      <w:r w:rsidR="00472A33">
        <w:rPr>
          <w:rFonts w:ascii="Arial" w:hAnsi="Arial" w:cs="Arial"/>
          <w:sz w:val="24"/>
          <w:szCs w:val="24"/>
        </w:rPr>
        <w:fldChar w:fldCharType="separate"/>
      </w:r>
      <w:r w:rsidR="00472A33" w:rsidRPr="00313AE8">
        <w:rPr>
          <w:rFonts w:ascii="Arial" w:hAnsi="Arial" w:cs="Arial"/>
          <w:sz w:val="24"/>
          <w:szCs w:val="24"/>
        </w:rPr>
        <w:fldChar w:fldCharType="end"/>
      </w:r>
    </w:p>
    <w:p w:rsidR="00350A98" w:rsidRPr="00350A98" w:rsidRDefault="00350A98">
      <w:pPr>
        <w:rPr>
          <w:rFonts w:ascii="Arial" w:hAnsi="Arial" w:cs="Arial"/>
          <w:sz w:val="24"/>
          <w:szCs w:val="24"/>
        </w:rPr>
      </w:pPr>
    </w:p>
    <w:sectPr w:rsidR="00350A98" w:rsidRPr="00350A98" w:rsidSect="001A02A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09" w:rsidRDefault="000C0A09" w:rsidP="00233561">
      <w:r>
        <w:separator/>
      </w:r>
    </w:p>
  </w:endnote>
  <w:endnote w:type="continuationSeparator" w:id="0">
    <w:p w:rsidR="000C0A09" w:rsidRDefault="000C0A09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09" w:rsidRDefault="00472A33">
    <w:pPr>
      <w:pStyle w:val="Footer"/>
    </w:pPr>
    <w:r>
      <w:rPr>
        <w:noProof/>
      </w:rPr>
      <w:pict>
        <v:rect id="Rectangle 40" o:spid="_x0000_s205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0C0A09">
      <w:rPr>
        <w:color w:val="4F81BD" w:themeColor="accent1"/>
      </w:rPr>
      <w:t>Fall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09" w:rsidRDefault="000C0A09" w:rsidP="00233561">
      <w:r>
        <w:separator/>
      </w:r>
    </w:p>
  </w:footnote>
  <w:footnote w:type="continuationSeparator" w:id="0">
    <w:p w:rsidR="000C0A09" w:rsidRDefault="000C0A09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99"/>
    <w:multiLevelType w:val="hybridMultilevel"/>
    <w:tmpl w:val="35F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BC2"/>
    <w:multiLevelType w:val="hybridMultilevel"/>
    <w:tmpl w:val="8AE62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B40F7"/>
    <w:multiLevelType w:val="hybridMultilevel"/>
    <w:tmpl w:val="13F4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127B"/>
    <w:multiLevelType w:val="hybridMultilevel"/>
    <w:tmpl w:val="4440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31830"/>
    <w:multiLevelType w:val="hybridMultilevel"/>
    <w:tmpl w:val="20FA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2765C5"/>
    <w:multiLevelType w:val="hybridMultilevel"/>
    <w:tmpl w:val="FD5A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109CF"/>
    <w:multiLevelType w:val="hybridMultilevel"/>
    <w:tmpl w:val="D28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3306D"/>
    <w:multiLevelType w:val="hybridMultilevel"/>
    <w:tmpl w:val="F092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B65"/>
    <w:multiLevelType w:val="hybridMultilevel"/>
    <w:tmpl w:val="30DA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A67E9"/>
    <w:multiLevelType w:val="hybridMultilevel"/>
    <w:tmpl w:val="4EE29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6268C"/>
    <w:multiLevelType w:val="hybridMultilevel"/>
    <w:tmpl w:val="EE7CB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B580A"/>
    <w:multiLevelType w:val="hybridMultilevel"/>
    <w:tmpl w:val="90BE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70962"/>
    <w:multiLevelType w:val="hybridMultilevel"/>
    <w:tmpl w:val="27BA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40130"/>
    <w:multiLevelType w:val="hybridMultilevel"/>
    <w:tmpl w:val="7390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571A2D"/>
    <w:multiLevelType w:val="hybridMultilevel"/>
    <w:tmpl w:val="CB46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9905D8"/>
    <w:multiLevelType w:val="hybridMultilevel"/>
    <w:tmpl w:val="DD06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F51428"/>
    <w:multiLevelType w:val="hybridMultilevel"/>
    <w:tmpl w:val="F87C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BC4DC7"/>
    <w:multiLevelType w:val="hybridMultilevel"/>
    <w:tmpl w:val="085AA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524F34"/>
    <w:multiLevelType w:val="hybridMultilevel"/>
    <w:tmpl w:val="91F4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874A38"/>
    <w:multiLevelType w:val="hybridMultilevel"/>
    <w:tmpl w:val="109E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930629"/>
    <w:multiLevelType w:val="hybridMultilevel"/>
    <w:tmpl w:val="7A8A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CB655F"/>
    <w:multiLevelType w:val="hybridMultilevel"/>
    <w:tmpl w:val="70B8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AD044E"/>
    <w:multiLevelType w:val="hybridMultilevel"/>
    <w:tmpl w:val="BD32C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3E1C3A"/>
    <w:multiLevelType w:val="hybridMultilevel"/>
    <w:tmpl w:val="1C02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E80137"/>
    <w:multiLevelType w:val="hybridMultilevel"/>
    <w:tmpl w:val="9550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BF4D3A"/>
    <w:multiLevelType w:val="hybridMultilevel"/>
    <w:tmpl w:val="C8EEF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0A4EE5"/>
    <w:multiLevelType w:val="hybridMultilevel"/>
    <w:tmpl w:val="F94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A79AC"/>
    <w:multiLevelType w:val="hybridMultilevel"/>
    <w:tmpl w:val="35DE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E3FC3"/>
    <w:multiLevelType w:val="hybridMultilevel"/>
    <w:tmpl w:val="CE9CD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B04513"/>
    <w:multiLevelType w:val="hybridMultilevel"/>
    <w:tmpl w:val="35BA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1C7C7F"/>
    <w:multiLevelType w:val="hybridMultilevel"/>
    <w:tmpl w:val="B8F41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C355A"/>
    <w:multiLevelType w:val="hybridMultilevel"/>
    <w:tmpl w:val="1B2CE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E93C59"/>
    <w:multiLevelType w:val="hybridMultilevel"/>
    <w:tmpl w:val="E654C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A59B3"/>
    <w:multiLevelType w:val="hybridMultilevel"/>
    <w:tmpl w:val="E78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146E8"/>
    <w:multiLevelType w:val="hybridMultilevel"/>
    <w:tmpl w:val="F544B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304AC9"/>
    <w:multiLevelType w:val="hybridMultilevel"/>
    <w:tmpl w:val="928CA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33357F"/>
    <w:multiLevelType w:val="hybridMultilevel"/>
    <w:tmpl w:val="30F0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A789C"/>
    <w:multiLevelType w:val="hybridMultilevel"/>
    <w:tmpl w:val="B622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B0166F"/>
    <w:multiLevelType w:val="hybridMultilevel"/>
    <w:tmpl w:val="AA84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1C48B7"/>
    <w:multiLevelType w:val="hybridMultilevel"/>
    <w:tmpl w:val="D288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3D61BC"/>
    <w:multiLevelType w:val="hybridMultilevel"/>
    <w:tmpl w:val="7A78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47A66"/>
    <w:multiLevelType w:val="hybridMultilevel"/>
    <w:tmpl w:val="B9966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5B172B"/>
    <w:multiLevelType w:val="hybridMultilevel"/>
    <w:tmpl w:val="F0208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0D1422"/>
    <w:multiLevelType w:val="hybridMultilevel"/>
    <w:tmpl w:val="39C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243E30"/>
    <w:multiLevelType w:val="hybridMultilevel"/>
    <w:tmpl w:val="DA44E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8F7784"/>
    <w:multiLevelType w:val="hybridMultilevel"/>
    <w:tmpl w:val="AC663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A94633"/>
    <w:multiLevelType w:val="hybridMultilevel"/>
    <w:tmpl w:val="C1A6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E7195C"/>
    <w:multiLevelType w:val="hybridMultilevel"/>
    <w:tmpl w:val="19066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F95BEF"/>
    <w:multiLevelType w:val="hybridMultilevel"/>
    <w:tmpl w:val="605AE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42"/>
  </w:num>
  <w:num w:numId="4">
    <w:abstractNumId w:val="17"/>
  </w:num>
  <w:num w:numId="5">
    <w:abstractNumId w:val="40"/>
  </w:num>
  <w:num w:numId="6">
    <w:abstractNumId w:val="26"/>
  </w:num>
  <w:num w:numId="7">
    <w:abstractNumId w:val="6"/>
  </w:num>
  <w:num w:numId="8">
    <w:abstractNumId w:val="2"/>
  </w:num>
  <w:num w:numId="9">
    <w:abstractNumId w:val="36"/>
  </w:num>
  <w:num w:numId="10">
    <w:abstractNumId w:val="0"/>
  </w:num>
  <w:num w:numId="11">
    <w:abstractNumId w:val="33"/>
  </w:num>
  <w:num w:numId="12">
    <w:abstractNumId w:val="39"/>
  </w:num>
  <w:num w:numId="13">
    <w:abstractNumId w:val="9"/>
  </w:num>
  <w:num w:numId="14">
    <w:abstractNumId w:val="27"/>
  </w:num>
  <w:num w:numId="15">
    <w:abstractNumId w:val="24"/>
  </w:num>
  <w:num w:numId="16">
    <w:abstractNumId w:val="21"/>
  </w:num>
  <w:num w:numId="17">
    <w:abstractNumId w:val="10"/>
  </w:num>
  <w:num w:numId="18">
    <w:abstractNumId w:val="43"/>
  </w:num>
  <w:num w:numId="19">
    <w:abstractNumId w:val="29"/>
  </w:num>
  <w:num w:numId="20">
    <w:abstractNumId w:val="5"/>
  </w:num>
  <w:num w:numId="21">
    <w:abstractNumId w:val="25"/>
  </w:num>
  <w:num w:numId="22">
    <w:abstractNumId w:val="37"/>
  </w:num>
  <w:num w:numId="23">
    <w:abstractNumId w:val="41"/>
  </w:num>
  <w:num w:numId="24">
    <w:abstractNumId w:val="12"/>
  </w:num>
  <w:num w:numId="25">
    <w:abstractNumId w:val="18"/>
  </w:num>
  <w:num w:numId="26">
    <w:abstractNumId w:val="4"/>
  </w:num>
  <w:num w:numId="27">
    <w:abstractNumId w:val="1"/>
  </w:num>
  <w:num w:numId="28">
    <w:abstractNumId w:val="32"/>
  </w:num>
  <w:num w:numId="29">
    <w:abstractNumId w:val="22"/>
  </w:num>
  <w:num w:numId="30">
    <w:abstractNumId w:val="49"/>
  </w:num>
  <w:num w:numId="31">
    <w:abstractNumId w:val="14"/>
  </w:num>
  <w:num w:numId="32">
    <w:abstractNumId w:val="11"/>
  </w:num>
  <w:num w:numId="33">
    <w:abstractNumId w:val="19"/>
  </w:num>
  <w:num w:numId="34">
    <w:abstractNumId w:val="3"/>
  </w:num>
  <w:num w:numId="35">
    <w:abstractNumId w:val="47"/>
  </w:num>
  <w:num w:numId="36">
    <w:abstractNumId w:val="16"/>
  </w:num>
  <w:num w:numId="37">
    <w:abstractNumId w:val="35"/>
  </w:num>
  <w:num w:numId="38">
    <w:abstractNumId w:val="38"/>
  </w:num>
  <w:num w:numId="39">
    <w:abstractNumId w:val="44"/>
  </w:num>
  <w:num w:numId="40">
    <w:abstractNumId w:val="20"/>
  </w:num>
  <w:num w:numId="41">
    <w:abstractNumId w:val="13"/>
  </w:num>
  <w:num w:numId="42">
    <w:abstractNumId w:val="45"/>
  </w:num>
  <w:num w:numId="43">
    <w:abstractNumId w:val="34"/>
  </w:num>
  <w:num w:numId="44">
    <w:abstractNumId w:val="8"/>
  </w:num>
  <w:num w:numId="45">
    <w:abstractNumId w:val="31"/>
  </w:num>
  <w:num w:numId="46">
    <w:abstractNumId w:val="30"/>
  </w:num>
  <w:num w:numId="47">
    <w:abstractNumId w:val="7"/>
  </w:num>
  <w:num w:numId="48">
    <w:abstractNumId w:val="46"/>
  </w:num>
  <w:num w:numId="49">
    <w:abstractNumId w:val="48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0615A"/>
    <w:rsid w:val="00041842"/>
    <w:rsid w:val="000514D4"/>
    <w:rsid w:val="00051D13"/>
    <w:rsid w:val="00072E96"/>
    <w:rsid w:val="00083DF5"/>
    <w:rsid w:val="000851E8"/>
    <w:rsid w:val="000A3ADE"/>
    <w:rsid w:val="000B2CE9"/>
    <w:rsid w:val="000C0A09"/>
    <w:rsid w:val="000D0D4F"/>
    <w:rsid w:val="00103A43"/>
    <w:rsid w:val="00111B8E"/>
    <w:rsid w:val="00123DB0"/>
    <w:rsid w:val="00126CE8"/>
    <w:rsid w:val="00147718"/>
    <w:rsid w:val="00153F00"/>
    <w:rsid w:val="00167158"/>
    <w:rsid w:val="001A02A7"/>
    <w:rsid w:val="001D6A92"/>
    <w:rsid w:val="001F38E4"/>
    <w:rsid w:val="00203C77"/>
    <w:rsid w:val="00231555"/>
    <w:rsid w:val="00233561"/>
    <w:rsid w:val="0024086B"/>
    <w:rsid w:val="00241E16"/>
    <w:rsid w:val="00243B99"/>
    <w:rsid w:val="00255F08"/>
    <w:rsid w:val="00261D99"/>
    <w:rsid w:val="00272AFE"/>
    <w:rsid w:val="00273036"/>
    <w:rsid w:val="00285116"/>
    <w:rsid w:val="00287DE0"/>
    <w:rsid w:val="002A6916"/>
    <w:rsid w:val="002A7477"/>
    <w:rsid w:val="002B1A53"/>
    <w:rsid w:val="002B2123"/>
    <w:rsid w:val="00303399"/>
    <w:rsid w:val="00306AD2"/>
    <w:rsid w:val="00312A82"/>
    <w:rsid w:val="00332F9A"/>
    <w:rsid w:val="0034234E"/>
    <w:rsid w:val="00350A98"/>
    <w:rsid w:val="00352085"/>
    <w:rsid w:val="003840CC"/>
    <w:rsid w:val="003A6967"/>
    <w:rsid w:val="003C1D44"/>
    <w:rsid w:val="003D017F"/>
    <w:rsid w:val="003D4C28"/>
    <w:rsid w:val="003E0989"/>
    <w:rsid w:val="00400980"/>
    <w:rsid w:val="00411128"/>
    <w:rsid w:val="00440707"/>
    <w:rsid w:val="004652CE"/>
    <w:rsid w:val="00472A33"/>
    <w:rsid w:val="004839A5"/>
    <w:rsid w:val="004875E5"/>
    <w:rsid w:val="004A4315"/>
    <w:rsid w:val="004D2D69"/>
    <w:rsid w:val="004F3222"/>
    <w:rsid w:val="004F7394"/>
    <w:rsid w:val="00523703"/>
    <w:rsid w:val="00527409"/>
    <w:rsid w:val="00534969"/>
    <w:rsid w:val="00552434"/>
    <w:rsid w:val="00571292"/>
    <w:rsid w:val="005735CD"/>
    <w:rsid w:val="00573768"/>
    <w:rsid w:val="0058038B"/>
    <w:rsid w:val="005A721B"/>
    <w:rsid w:val="005C15AE"/>
    <w:rsid w:val="005C7D6A"/>
    <w:rsid w:val="005E15CA"/>
    <w:rsid w:val="005E42A8"/>
    <w:rsid w:val="005E4D2D"/>
    <w:rsid w:val="0060539F"/>
    <w:rsid w:val="0062365E"/>
    <w:rsid w:val="006372E9"/>
    <w:rsid w:val="0065207F"/>
    <w:rsid w:val="00653D6E"/>
    <w:rsid w:val="006774DA"/>
    <w:rsid w:val="006A1870"/>
    <w:rsid w:val="006C069B"/>
    <w:rsid w:val="006C5A6A"/>
    <w:rsid w:val="006C7348"/>
    <w:rsid w:val="006D578A"/>
    <w:rsid w:val="006F14EB"/>
    <w:rsid w:val="006F5FFA"/>
    <w:rsid w:val="00700C15"/>
    <w:rsid w:val="00711AC4"/>
    <w:rsid w:val="00716ABB"/>
    <w:rsid w:val="00734853"/>
    <w:rsid w:val="00742C5A"/>
    <w:rsid w:val="00753AFA"/>
    <w:rsid w:val="00761DF6"/>
    <w:rsid w:val="0077023D"/>
    <w:rsid w:val="00785022"/>
    <w:rsid w:val="007A45A6"/>
    <w:rsid w:val="007A7458"/>
    <w:rsid w:val="007C44F3"/>
    <w:rsid w:val="007D1975"/>
    <w:rsid w:val="007F2808"/>
    <w:rsid w:val="00811C35"/>
    <w:rsid w:val="00845F8F"/>
    <w:rsid w:val="00883B8D"/>
    <w:rsid w:val="00893A71"/>
    <w:rsid w:val="00893E23"/>
    <w:rsid w:val="008A03E0"/>
    <w:rsid w:val="008B3ACA"/>
    <w:rsid w:val="008F40EF"/>
    <w:rsid w:val="008F62B2"/>
    <w:rsid w:val="00910769"/>
    <w:rsid w:val="00910E9D"/>
    <w:rsid w:val="009213C1"/>
    <w:rsid w:val="00960F51"/>
    <w:rsid w:val="00967B62"/>
    <w:rsid w:val="009857E6"/>
    <w:rsid w:val="00990069"/>
    <w:rsid w:val="009B3949"/>
    <w:rsid w:val="009C1083"/>
    <w:rsid w:val="009C75F7"/>
    <w:rsid w:val="009F0BFA"/>
    <w:rsid w:val="009F5529"/>
    <w:rsid w:val="00A22AC3"/>
    <w:rsid w:val="00A45E05"/>
    <w:rsid w:val="00A6388B"/>
    <w:rsid w:val="00A9284E"/>
    <w:rsid w:val="00AB7DBA"/>
    <w:rsid w:val="00AD50F2"/>
    <w:rsid w:val="00AD6D73"/>
    <w:rsid w:val="00B31069"/>
    <w:rsid w:val="00B72D48"/>
    <w:rsid w:val="00B841EA"/>
    <w:rsid w:val="00B90FA0"/>
    <w:rsid w:val="00BA6B8A"/>
    <w:rsid w:val="00C3660C"/>
    <w:rsid w:val="00C42CC0"/>
    <w:rsid w:val="00C6101A"/>
    <w:rsid w:val="00C61F9F"/>
    <w:rsid w:val="00CA6369"/>
    <w:rsid w:val="00CD3DF5"/>
    <w:rsid w:val="00CD7A67"/>
    <w:rsid w:val="00CE4E0C"/>
    <w:rsid w:val="00CF17DB"/>
    <w:rsid w:val="00CF30DD"/>
    <w:rsid w:val="00D1166C"/>
    <w:rsid w:val="00D27B18"/>
    <w:rsid w:val="00D40612"/>
    <w:rsid w:val="00D6555E"/>
    <w:rsid w:val="00D928DB"/>
    <w:rsid w:val="00DA02C7"/>
    <w:rsid w:val="00DA7328"/>
    <w:rsid w:val="00DC4671"/>
    <w:rsid w:val="00DD1AD9"/>
    <w:rsid w:val="00DF6505"/>
    <w:rsid w:val="00E215D7"/>
    <w:rsid w:val="00E30D0E"/>
    <w:rsid w:val="00E3390A"/>
    <w:rsid w:val="00E46206"/>
    <w:rsid w:val="00E635F3"/>
    <w:rsid w:val="00E70000"/>
    <w:rsid w:val="00E81783"/>
    <w:rsid w:val="00E81838"/>
    <w:rsid w:val="00E84073"/>
    <w:rsid w:val="00E93E74"/>
    <w:rsid w:val="00EA29B6"/>
    <w:rsid w:val="00EC2F62"/>
    <w:rsid w:val="00EE2807"/>
    <w:rsid w:val="00F1711F"/>
    <w:rsid w:val="00F33E64"/>
    <w:rsid w:val="00F53D53"/>
    <w:rsid w:val="00F54A7C"/>
    <w:rsid w:val="00F570EA"/>
    <w:rsid w:val="00FA2535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1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33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2&amp;catalogYear=12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atalo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au.edu/avpaa/Assessment/ProgramLearningOutcomesPDF_0907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4.nau.edu/avpaa/timelines/1213Effective.xls" TargetMode="External"/><Relationship Id="rId10" Type="http://schemas.openxmlformats.org/officeDocument/2006/relationships/hyperlink" Target="http://www.nau.edu/gradcol/UGC/UGC_FastTrack_Policy&amp;Pro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FastTrack.docx" TargetMode="External"/><Relationship Id="rId14" Type="http://schemas.openxmlformats.org/officeDocument/2006/relationships/hyperlink" Target="http://catalog.nau.edu/Courses/course?courseId=005202&amp;catalogYear=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AE25A-0652-4445-9F63-EA37EDA2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13</cp:revision>
  <dcterms:created xsi:type="dcterms:W3CDTF">2013-05-08T18:15:00Z</dcterms:created>
  <dcterms:modified xsi:type="dcterms:W3CDTF">2013-10-21T21:52:00Z</dcterms:modified>
</cp:coreProperties>
</file>