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EE3904" w:rsidP="00051D13">
      <w:pPr>
        <w:jc w:val="center"/>
      </w:pPr>
      <w:bookmarkStart w:id="0" w:name="OLE_LINK2"/>
      <w:proofErr w:type="spellStart"/>
      <w:proofErr w:type="gramStart"/>
      <w:r>
        <w:t>ccc</w:t>
      </w:r>
      <w:proofErr w:type="spellEnd"/>
      <w:proofErr w:type="gramEnd"/>
      <w:r w:rsidR="0065207F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A06372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43605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930147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and Human Services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147718" w:rsidRDefault="00930147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Sciences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910769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147718" w:rsidRDefault="00930147" w:rsidP="009301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Education; Minor </w:t>
            </w:r>
            <w:r w:rsidR="00A45E05" w:rsidRPr="0093014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30147">
              <w:rPr>
                <w:rFonts w:ascii="Arial" w:hAnsi="Arial" w:cs="Arial"/>
                <w:b/>
                <w:sz w:val="24"/>
                <w:szCs w:val="24"/>
              </w:rPr>
              <w:t>PHYEDMN</w:t>
            </w:r>
            <w:r w:rsidR="00A45E05" w:rsidRPr="0093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A22AC3" w:rsidRPr="00F33E64" w:rsidRDefault="00A22AC3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A06372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A06372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A06372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A06372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A06372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28"/>
        <w:gridCol w:w="5580"/>
      </w:tblGrid>
      <w:tr w:rsidR="0065207F" w:rsidTr="00E30D0E">
        <w:tc>
          <w:tcPr>
            <w:tcW w:w="532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147" w:rsidRDefault="00930147" w:rsidP="0093014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30147" w:rsidRDefault="00930147" w:rsidP="0093014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5529" w:rsidRPr="00930147" w:rsidRDefault="00930147" w:rsidP="00930147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014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  <w:p w:rsidR="008B3ACA" w:rsidRPr="00126CE8" w:rsidRDefault="008B3ACA" w:rsidP="00126C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5F3" w:rsidRPr="00E635F3" w:rsidRDefault="00E635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5F3">
              <w:rPr>
                <w:rFonts w:ascii="Arial" w:hAnsi="Arial" w:cs="Arial"/>
                <w:b/>
                <w:sz w:val="24"/>
                <w:szCs w:val="24"/>
              </w:rPr>
              <w:t>UNCHANGED</w:t>
            </w:r>
          </w:p>
          <w:p w:rsidR="0065207F" w:rsidRDefault="0065207F" w:rsidP="005C15AE"/>
        </w:tc>
      </w:tr>
      <w:tr w:rsidR="0065207F" w:rsidRPr="00845F8F" w:rsidTr="00E30D0E">
        <w:tc>
          <w:tcPr>
            <w:tcW w:w="5328" w:type="dxa"/>
          </w:tcPr>
          <w:p w:rsidR="0065207F" w:rsidRPr="00845F8F" w:rsidRDefault="00A06372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EE3904" w:rsidRPr="005821C8" w:rsidRDefault="00EE3904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DA7328" w:rsidRPr="00DA7328" w:rsidRDefault="00930147" w:rsidP="00DA7328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Physical Education; Minor </w:t>
            </w:r>
            <w:r w:rsidR="00A45E0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A7458" w:rsidRDefault="007A7458" w:rsidP="00DC46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85116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A45E05" w:rsidRDefault="00A45E05" w:rsidP="00A45E05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5"/>
              <w:gridCol w:w="2160"/>
            </w:tblGrid>
            <w:tr w:rsidR="00930147" w:rsidRPr="00930147" w:rsidTr="00930147">
              <w:trPr>
                <w:tblHeader/>
                <w:tblCellSpacing w:w="15" w:type="dxa"/>
              </w:trPr>
              <w:tc>
                <w:tcPr>
                  <w:tcW w:w="2290" w:type="dxa"/>
                  <w:vAlign w:val="center"/>
                  <w:hideMark/>
                </w:tcPr>
                <w:p w:rsidR="00930147" w:rsidRPr="00930147" w:rsidRDefault="00930147" w:rsidP="009301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930147" w:rsidRPr="00930147" w:rsidRDefault="00930147" w:rsidP="009301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930147" w:rsidRPr="00930147" w:rsidTr="00930147">
              <w:trPr>
                <w:tblCellSpacing w:w="15" w:type="dxa"/>
              </w:trPr>
              <w:tc>
                <w:tcPr>
                  <w:tcW w:w="2290" w:type="dxa"/>
                  <w:vAlign w:val="center"/>
                  <w:hideMark/>
                </w:tcPr>
                <w:p w:rsidR="00930147" w:rsidRPr="00930147" w:rsidRDefault="00930147" w:rsidP="009301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930147" w:rsidRPr="00930147" w:rsidRDefault="00930147" w:rsidP="009301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</w:tbl>
          <w:p w:rsidR="00930147" w:rsidRDefault="00930147" w:rsidP="00A45E05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930147" w:rsidRPr="00930147" w:rsidRDefault="00930147" w:rsidP="0093014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30147">
              <w:rPr>
                <w:rFonts w:ascii="Tahoma" w:hAnsi="Tahoma" w:cs="Tahoma"/>
                <w:b/>
                <w:i/>
                <w:sz w:val="24"/>
                <w:szCs w:val="24"/>
              </w:rPr>
              <w:t>Minor Requirements</w:t>
            </w:r>
          </w:p>
          <w:p w:rsidR="00930147" w:rsidRDefault="00930147" w:rsidP="0093014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Take the following 18 units with a Grade of "C" or better in each course: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PE 315, PE 316, PE 325, PE 335, PE 345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930147">
              <w:rPr>
                <w:rFonts w:ascii="Tahoma" w:hAnsi="Tahoma" w:cs="Tahoma"/>
                <w:sz w:val="24"/>
                <w:szCs w:val="24"/>
              </w:rPr>
              <w:t xml:space="preserve"> (14 units)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 addition, PES coursework from the following (4 units):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Dance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Group Fitness (e.g. aerobic dance)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Invasion Game (e.g. basketball, hockey)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Net/Wall (e.g. volleyball, racquetball)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Recreation (e.g. cycling, golf. Note, swimming and life guard certification is highly recommended)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Weight Training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45E05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0C0A09" w:rsidRPr="00A45E05" w:rsidRDefault="000C0A09" w:rsidP="000C0A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30D0E" w:rsidRDefault="00E30D0E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Pr="00DA7328" w:rsidRDefault="00930147" w:rsidP="00930147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Physical Education; Minor  </w:t>
            </w: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5"/>
              <w:gridCol w:w="2160"/>
            </w:tblGrid>
            <w:tr w:rsidR="00930147" w:rsidRPr="00930147" w:rsidTr="0043605F">
              <w:trPr>
                <w:tblHeader/>
                <w:tblCellSpacing w:w="15" w:type="dxa"/>
              </w:trPr>
              <w:tc>
                <w:tcPr>
                  <w:tcW w:w="2290" w:type="dxa"/>
                  <w:vAlign w:val="center"/>
                  <w:hideMark/>
                </w:tcPr>
                <w:p w:rsidR="00930147" w:rsidRPr="00930147" w:rsidRDefault="00930147" w:rsidP="0043605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930147" w:rsidRPr="00930147" w:rsidRDefault="00930147" w:rsidP="0043605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930147" w:rsidRPr="00930147" w:rsidTr="0043605F">
              <w:trPr>
                <w:tblCellSpacing w:w="15" w:type="dxa"/>
              </w:trPr>
              <w:tc>
                <w:tcPr>
                  <w:tcW w:w="2290" w:type="dxa"/>
                  <w:vAlign w:val="center"/>
                  <w:hideMark/>
                </w:tcPr>
                <w:p w:rsidR="00930147" w:rsidRPr="00930147" w:rsidRDefault="00930147" w:rsidP="0043605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930147" w:rsidRPr="00930147" w:rsidRDefault="00930147" w:rsidP="0043605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30147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</w:tbl>
          <w:p w:rsidR="00930147" w:rsidRDefault="00930147" w:rsidP="0093014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930147" w:rsidRPr="00930147" w:rsidRDefault="00930147" w:rsidP="0093014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30147">
              <w:rPr>
                <w:rFonts w:ascii="Tahoma" w:hAnsi="Tahoma" w:cs="Tahoma"/>
                <w:b/>
                <w:i/>
                <w:sz w:val="24"/>
                <w:szCs w:val="24"/>
              </w:rPr>
              <w:t>Minor Requirements</w:t>
            </w:r>
          </w:p>
          <w:p w:rsidR="00930147" w:rsidRDefault="00930147" w:rsidP="0093014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Take the following 18 units with a Grade of "C" or better in each course: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 xml:space="preserve">PE 315, PE 316, </w:t>
            </w:r>
            <w:r w:rsidRPr="00930147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PE 325</w:t>
            </w:r>
            <w:r w:rsidRPr="00930147">
              <w:rPr>
                <w:rFonts w:ascii="Tahoma" w:hAnsi="Tahoma" w:cs="Tahoma"/>
                <w:sz w:val="24"/>
                <w:szCs w:val="24"/>
              </w:rPr>
              <w:t>, PE 335, PE 345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9301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0147">
              <w:rPr>
                <w:rFonts w:ascii="Tahoma" w:hAnsi="Tahoma" w:cs="Tahoma"/>
                <w:b/>
                <w:sz w:val="24"/>
                <w:szCs w:val="24"/>
              </w:rPr>
              <w:t>PE 365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0147">
              <w:rPr>
                <w:rFonts w:ascii="Tahoma" w:hAnsi="Tahoma" w:cs="Tahoma"/>
                <w:sz w:val="24"/>
                <w:szCs w:val="24"/>
              </w:rPr>
              <w:t>(14 units)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 addition, PES coursework from the following (4 units):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Dance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Group Fitness (e.g. aerobic dance)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Invasion Game (e.g. basketball, hockey)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Net/Wall (e.g. volleyball, racquetball)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Recreation (e.g. cycling, golf. Note, swimming and life guard certification is highly recommended)</w:t>
            </w:r>
          </w:p>
          <w:p w:rsidR="00930147" w:rsidRPr="00930147" w:rsidRDefault="00930147" w:rsidP="00930147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Weight Training</w:t>
            </w: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0147" w:rsidRPr="00930147" w:rsidRDefault="00930147" w:rsidP="00930147">
            <w:pPr>
              <w:rPr>
                <w:rFonts w:ascii="Tahoma" w:hAnsi="Tahoma" w:cs="Tahoma"/>
                <w:sz w:val="24"/>
                <w:szCs w:val="24"/>
              </w:rPr>
            </w:pPr>
            <w:r w:rsidRPr="00930147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0611D1" w:rsidRPr="000611D1" w:rsidRDefault="000611D1" w:rsidP="000611D1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0611D1">
        <w:rPr>
          <w:rFonts w:ascii="Arial" w:hAnsi="Arial" w:cs="Arial"/>
          <w:b/>
          <w:sz w:val="24"/>
          <w:szCs w:val="24"/>
        </w:rPr>
        <w:t xml:space="preserve">PE 325 has BIO 201 as a prerequisite which is a hidden requirement and poses a barrier to degree progress. Secondly, for a minor in PE, the content in 325 is not necessary. PE 365 does not have prerequisite </w:t>
      </w:r>
      <w:proofErr w:type="gramStart"/>
      <w:r w:rsidRPr="000611D1">
        <w:rPr>
          <w:rFonts w:ascii="Arial" w:hAnsi="Arial" w:cs="Arial"/>
          <w:b/>
          <w:sz w:val="24"/>
          <w:szCs w:val="24"/>
        </w:rPr>
        <w:t>issues,</w:t>
      </w:r>
      <w:proofErr w:type="gramEnd"/>
      <w:r w:rsidRPr="000611D1">
        <w:rPr>
          <w:rFonts w:ascii="Arial" w:hAnsi="Arial" w:cs="Arial"/>
          <w:b/>
          <w:sz w:val="24"/>
          <w:szCs w:val="24"/>
        </w:rPr>
        <w:t xml:space="preserve"> and the content in the course better prepares minors to work with diverse populations.</w:t>
      </w:r>
    </w:p>
    <w:p w:rsidR="00A45E05" w:rsidRPr="000611D1" w:rsidRDefault="00A45E05" w:rsidP="000611D1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A7458" w:rsidRDefault="007A745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A06372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A06372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A06372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3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A06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A0637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369" w:rsidRPr="008B3ACA" w:rsidRDefault="00CA6369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8F62B2" w:rsidRDefault="00AD6D73" w:rsidP="00AD6D73">
      <w:pPr>
        <w:shd w:val="clear" w:color="auto" w:fill="D9D9D9" w:themeFill="background1" w:themeFillShade="D9"/>
        <w:tabs>
          <w:tab w:val="left" w:pos="18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62B2" w:rsidRDefault="008F62B2" w:rsidP="008F62B2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A06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A06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147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</w:p>
    <w:p w:rsidR="007A7458" w:rsidRPr="00CC5FEA" w:rsidRDefault="007A7458" w:rsidP="00552434">
      <w:pPr>
        <w:rPr>
          <w:rFonts w:ascii="Arial" w:hAnsi="Arial" w:cs="Arial"/>
          <w:sz w:val="24"/>
          <w:szCs w:val="24"/>
        </w:rPr>
      </w:pP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8F40EF" w:rsidRDefault="008F40EF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A0637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1166C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A7458" w:rsidRPr="0027415E" w:rsidRDefault="007A7458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782734" w:rsidRDefault="00782734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A45E05" w:rsidP="009301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30147">
              <w:rPr>
                <w:rFonts w:ascii="Arial" w:hAnsi="Arial" w:cs="Arial"/>
                <w:b/>
                <w:sz w:val="24"/>
                <w:szCs w:val="24"/>
              </w:rPr>
              <w:t>8/27/</w:t>
            </w: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lastRenderedPageBreak/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DB1F08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1F08" w:rsidRPr="00966937" w:rsidRDefault="00DB1F08" w:rsidP="007B6653">
            <w:pPr>
              <w:rPr>
                <w:b/>
              </w:rPr>
            </w:pPr>
            <w:r>
              <w:rPr>
                <w:b/>
              </w:rPr>
              <w:t>Roger Bounds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1F08" w:rsidRPr="00966937" w:rsidRDefault="00DB1F08" w:rsidP="007B665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12/01/13</w:t>
            </w:r>
          </w:p>
        </w:tc>
      </w:tr>
      <w:tr w:rsidR="00DB1F08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DB1F08" w:rsidRDefault="00DB1F08" w:rsidP="00285116"/>
        </w:tc>
      </w:tr>
      <w:tr w:rsidR="00DB1F08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/>
        </w:tc>
      </w:tr>
      <w:tr w:rsidR="00DB1F08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B1F08" w:rsidRDefault="00DB1F08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DB1F08" w:rsidRDefault="00DB1F08" w:rsidP="00285116"/>
        </w:tc>
      </w:tr>
      <w:tr w:rsidR="006845AC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845AC" w:rsidRPr="005D0DAF" w:rsidRDefault="006845AC" w:rsidP="00FD63DA">
            <w:pPr>
              <w:rPr>
                <w:rFonts w:ascii="Arial" w:hAnsi="Arial" w:cs="Arial"/>
                <w:b/>
              </w:rPr>
            </w:pPr>
            <w:r w:rsidRPr="005D0DAF">
              <w:rPr>
                <w:rFonts w:ascii="Arial" w:hAnsi="Arial" w:cs="Arial"/>
                <w:b/>
              </w:rPr>
              <w:t>Leslie Schulz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845AC" w:rsidRPr="005D0DAF" w:rsidRDefault="006845AC" w:rsidP="00FD63DA">
            <w:pPr>
              <w:rPr>
                <w:rFonts w:ascii="Arial" w:hAnsi="Arial" w:cs="Arial"/>
                <w:b/>
              </w:rPr>
            </w:pPr>
            <w:r w:rsidRPr="005D0DAF">
              <w:rPr>
                <w:rFonts w:ascii="Arial" w:hAnsi="Arial" w:cs="Arial"/>
                <w:b/>
              </w:rPr>
              <w:t>12/10/2013</w:t>
            </w:r>
          </w:p>
        </w:tc>
      </w:tr>
      <w:tr w:rsidR="006845AC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845AC" w:rsidTr="00285116">
        <w:tc>
          <w:tcPr>
            <w:tcW w:w="9018" w:type="dxa"/>
            <w:shd w:val="clear" w:color="auto" w:fill="DDD9C3" w:themeFill="background2" w:themeFillShade="E6"/>
          </w:tcPr>
          <w:p w:rsidR="006845AC" w:rsidRDefault="006845AC" w:rsidP="00285116"/>
          <w:p w:rsidR="006845AC" w:rsidRDefault="006845AC" w:rsidP="00285116"/>
        </w:tc>
        <w:tc>
          <w:tcPr>
            <w:tcW w:w="1980" w:type="dxa"/>
            <w:shd w:val="clear" w:color="auto" w:fill="DDD9C3" w:themeFill="background2" w:themeFillShade="E6"/>
          </w:tcPr>
          <w:p w:rsidR="006845AC" w:rsidRDefault="006845AC" w:rsidP="00285116"/>
        </w:tc>
      </w:tr>
      <w:tr w:rsidR="006845AC" w:rsidTr="00285116">
        <w:tc>
          <w:tcPr>
            <w:tcW w:w="9018" w:type="dxa"/>
            <w:shd w:val="clear" w:color="auto" w:fill="DDD9C3" w:themeFill="background2" w:themeFillShade="E6"/>
          </w:tcPr>
          <w:p w:rsidR="006845AC" w:rsidRDefault="006845AC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45AC" w:rsidRDefault="006845AC" w:rsidP="00285116"/>
        </w:tc>
        <w:tc>
          <w:tcPr>
            <w:tcW w:w="1980" w:type="dxa"/>
            <w:shd w:val="clear" w:color="auto" w:fill="DDD9C3" w:themeFill="background2" w:themeFillShade="E6"/>
          </w:tcPr>
          <w:p w:rsidR="006845AC" w:rsidRDefault="006845AC" w:rsidP="00285116"/>
        </w:tc>
      </w:tr>
      <w:tr w:rsidR="006845AC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/>
        </w:tc>
      </w:tr>
      <w:tr w:rsidR="006845AC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45AC" w:rsidRDefault="006845AC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845AC" w:rsidRDefault="006845AC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A0637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A06372">
        <w:rPr>
          <w:rFonts w:ascii="Arial" w:hAnsi="Arial" w:cs="Arial"/>
          <w:sz w:val="24"/>
          <w:szCs w:val="24"/>
        </w:rPr>
      </w:r>
      <w:r w:rsidR="00A06372">
        <w:rPr>
          <w:rFonts w:ascii="Arial" w:hAnsi="Arial" w:cs="Arial"/>
          <w:sz w:val="24"/>
          <w:szCs w:val="24"/>
        </w:rPr>
        <w:fldChar w:fldCharType="separate"/>
      </w:r>
      <w:r w:rsidR="00A06372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04" w:rsidRDefault="00EE3904" w:rsidP="00233561">
      <w:r>
        <w:separator/>
      </w:r>
    </w:p>
  </w:endnote>
  <w:endnote w:type="continuationSeparator" w:id="0">
    <w:p w:rsidR="00EE3904" w:rsidRDefault="00EE3904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04" w:rsidRDefault="00A06372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EE3904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04" w:rsidRDefault="00EE3904" w:rsidP="00233561">
      <w:r>
        <w:separator/>
      </w:r>
    </w:p>
  </w:footnote>
  <w:footnote w:type="continuationSeparator" w:id="0">
    <w:p w:rsidR="00EE3904" w:rsidRDefault="00EE3904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99"/>
    <w:multiLevelType w:val="hybridMultilevel"/>
    <w:tmpl w:val="35F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BC2"/>
    <w:multiLevelType w:val="hybridMultilevel"/>
    <w:tmpl w:val="8AE6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B40F7"/>
    <w:multiLevelType w:val="hybridMultilevel"/>
    <w:tmpl w:val="13F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27B"/>
    <w:multiLevelType w:val="hybridMultilevel"/>
    <w:tmpl w:val="4440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31830"/>
    <w:multiLevelType w:val="hybridMultilevel"/>
    <w:tmpl w:val="20FA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2765C5"/>
    <w:multiLevelType w:val="hybridMultilevel"/>
    <w:tmpl w:val="FD5A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109CF"/>
    <w:multiLevelType w:val="hybridMultilevel"/>
    <w:tmpl w:val="D28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3306D"/>
    <w:multiLevelType w:val="hybridMultilevel"/>
    <w:tmpl w:val="F092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B65"/>
    <w:multiLevelType w:val="hybridMultilevel"/>
    <w:tmpl w:val="30DA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A67E9"/>
    <w:multiLevelType w:val="hybridMultilevel"/>
    <w:tmpl w:val="4EE2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6268C"/>
    <w:multiLevelType w:val="hybridMultilevel"/>
    <w:tmpl w:val="EE7C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B580A"/>
    <w:multiLevelType w:val="hybridMultilevel"/>
    <w:tmpl w:val="90BE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70962"/>
    <w:multiLevelType w:val="hybridMultilevel"/>
    <w:tmpl w:val="27B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0130"/>
    <w:multiLevelType w:val="hybridMultilevel"/>
    <w:tmpl w:val="7390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571A2D"/>
    <w:multiLevelType w:val="hybridMultilevel"/>
    <w:tmpl w:val="CB46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528A6"/>
    <w:multiLevelType w:val="hybridMultilevel"/>
    <w:tmpl w:val="A828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51428"/>
    <w:multiLevelType w:val="hybridMultilevel"/>
    <w:tmpl w:val="F87C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BC4DC7"/>
    <w:multiLevelType w:val="hybridMultilevel"/>
    <w:tmpl w:val="085A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24F34"/>
    <w:multiLevelType w:val="hybridMultilevel"/>
    <w:tmpl w:val="91F4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74A38"/>
    <w:multiLevelType w:val="hybridMultilevel"/>
    <w:tmpl w:val="109E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930629"/>
    <w:multiLevelType w:val="hybridMultilevel"/>
    <w:tmpl w:val="7A8A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CB655F"/>
    <w:multiLevelType w:val="hybridMultilevel"/>
    <w:tmpl w:val="70B8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D044E"/>
    <w:multiLevelType w:val="hybridMultilevel"/>
    <w:tmpl w:val="BD32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3E1C3A"/>
    <w:multiLevelType w:val="hybridMultilevel"/>
    <w:tmpl w:val="1C0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80137"/>
    <w:multiLevelType w:val="hybridMultilevel"/>
    <w:tmpl w:val="955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BF4D3A"/>
    <w:multiLevelType w:val="hybridMultilevel"/>
    <w:tmpl w:val="C8EE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0A4EE5"/>
    <w:multiLevelType w:val="hybridMultilevel"/>
    <w:tmpl w:val="F94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A79AC"/>
    <w:multiLevelType w:val="hybridMultilevel"/>
    <w:tmpl w:val="35D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E3FC3"/>
    <w:multiLevelType w:val="hybridMultilevel"/>
    <w:tmpl w:val="CE9CD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B04513"/>
    <w:multiLevelType w:val="hybridMultilevel"/>
    <w:tmpl w:val="35BA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1C7C7F"/>
    <w:multiLevelType w:val="hybridMultilevel"/>
    <w:tmpl w:val="B8F4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C355A"/>
    <w:multiLevelType w:val="hybridMultilevel"/>
    <w:tmpl w:val="1B2C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E93C59"/>
    <w:multiLevelType w:val="hybridMultilevel"/>
    <w:tmpl w:val="E654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A59B3"/>
    <w:multiLevelType w:val="hybridMultilevel"/>
    <w:tmpl w:val="E78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46E8"/>
    <w:multiLevelType w:val="hybridMultilevel"/>
    <w:tmpl w:val="F544B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04AC9"/>
    <w:multiLevelType w:val="hybridMultilevel"/>
    <w:tmpl w:val="928C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3357F"/>
    <w:multiLevelType w:val="hybridMultilevel"/>
    <w:tmpl w:val="30F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A789C"/>
    <w:multiLevelType w:val="hybridMultilevel"/>
    <w:tmpl w:val="B622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B0166F"/>
    <w:multiLevelType w:val="hybridMultilevel"/>
    <w:tmpl w:val="AA84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1C48B7"/>
    <w:multiLevelType w:val="hybridMultilevel"/>
    <w:tmpl w:val="D288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3D61BC"/>
    <w:multiLevelType w:val="hybridMultilevel"/>
    <w:tmpl w:val="7A7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47A66"/>
    <w:multiLevelType w:val="hybridMultilevel"/>
    <w:tmpl w:val="B9966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5B172B"/>
    <w:multiLevelType w:val="hybridMultilevel"/>
    <w:tmpl w:val="F0208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0D1422"/>
    <w:multiLevelType w:val="hybridMultilevel"/>
    <w:tmpl w:val="39C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43E30"/>
    <w:multiLevelType w:val="hybridMultilevel"/>
    <w:tmpl w:val="DA44E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8F7784"/>
    <w:multiLevelType w:val="hybridMultilevel"/>
    <w:tmpl w:val="AC663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A94633"/>
    <w:multiLevelType w:val="hybridMultilevel"/>
    <w:tmpl w:val="C1A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F95BEF"/>
    <w:multiLevelType w:val="hybridMultilevel"/>
    <w:tmpl w:val="605A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2"/>
  </w:num>
  <w:num w:numId="4">
    <w:abstractNumId w:val="17"/>
  </w:num>
  <w:num w:numId="5">
    <w:abstractNumId w:val="40"/>
  </w:num>
  <w:num w:numId="6">
    <w:abstractNumId w:val="26"/>
  </w:num>
  <w:num w:numId="7">
    <w:abstractNumId w:val="6"/>
  </w:num>
  <w:num w:numId="8">
    <w:abstractNumId w:val="2"/>
  </w:num>
  <w:num w:numId="9">
    <w:abstractNumId w:val="36"/>
  </w:num>
  <w:num w:numId="10">
    <w:abstractNumId w:val="0"/>
  </w:num>
  <w:num w:numId="11">
    <w:abstractNumId w:val="33"/>
  </w:num>
  <w:num w:numId="12">
    <w:abstractNumId w:val="39"/>
  </w:num>
  <w:num w:numId="13">
    <w:abstractNumId w:val="9"/>
  </w:num>
  <w:num w:numId="14">
    <w:abstractNumId w:val="27"/>
  </w:num>
  <w:num w:numId="15">
    <w:abstractNumId w:val="24"/>
  </w:num>
  <w:num w:numId="16">
    <w:abstractNumId w:val="21"/>
  </w:num>
  <w:num w:numId="17">
    <w:abstractNumId w:val="10"/>
  </w:num>
  <w:num w:numId="18">
    <w:abstractNumId w:val="43"/>
  </w:num>
  <w:num w:numId="19">
    <w:abstractNumId w:val="29"/>
  </w:num>
  <w:num w:numId="20">
    <w:abstractNumId w:val="5"/>
  </w:num>
  <w:num w:numId="21">
    <w:abstractNumId w:val="25"/>
  </w:num>
  <w:num w:numId="22">
    <w:abstractNumId w:val="37"/>
  </w:num>
  <w:num w:numId="23">
    <w:abstractNumId w:val="41"/>
  </w:num>
  <w:num w:numId="24">
    <w:abstractNumId w:val="12"/>
  </w:num>
  <w:num w:numId="25">
    <w:abstractNumId w:val="18"/>
  </w:num>
  <w:num w:numId="26">
    <w:abstractNumId w:val="4"/>
  </w:num>
  <w:num w:numId="27">
    <w:abstractNumId w:val="1"/>
  </w:num>
  <w:num w:numId="28">
    <w:abstractNumId w:val="32"/>
  </w:num>
  <w:num w:numId="29">
    <w:abstractNumId w:val="22"/>
  </w:num>
  <w:num w:numId="30">
    <w:abstractNumId w:val="47"/>
  </w:num>
  <w:num w:numId="31">
    <w:abstractNumId w:val="14"/>
  </w:num>
  <w:num w:numId="32">
    <w:abstractNumId w:val="11"/>
  </w:num>
  <w:num w:numId="33">
    <w:abstractNumId w:val="19"/>
  </w:num>
  <w:num w:numId="34">
    <w:abstractNumId w:val="3"/>
  </w:num>
  <w:num w:numId="35">
    <w:abstractNumId w:val="46"/>
  </w:num>
  <w:num w:numId="36">
    <w:abstractNumId w:val="16"/>
  </w:num>
  <w:num w:numId="37">
    <w:abstractNumId w:val="35"/>
  </w:num>
  <w:num w:numId="38">
    <w:abstractNumId w:val="38"/>
  </w:num>
  <w:num w:numId="39">
    <w:abstractNumId w:val="44"/>
  </w:num>
  <w:num w:numId="40">
    <w:abstractNumId w:val="20"/>
  </w:num>
  <w:num w:numId="41">
    <w:abstractNumId w:val="13"/>
  </w:num>
  <w:num w:numId="42">
    <w:abstractNumId w:val="45"/>
  </w:num>
  <w:num w:numId="43">
    <w:abstractNumId w:val="34"/>
  </w:num>
  <w:num w:numId="44">
    <w:abstractNumId w:val="8"/>
  </w:num>
  <w:num w:numId="45">
    <w:abstractNumId w:val="31"/>
  </w:num>
  <w:num w:numId="46">
    <w:abstractNumId w:val="30"/>
  </w:num>
  <w:num w:numId="47">
    <w:abstractNumId w:val="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085E"/>
    <w:rsid w:val="0000615A"/>
    <w:rsid w:val="00041842"/>
    <w:rsid w:val="000514D4"/>
    <w:rsid w:val="00051D13"/>
    <w:rsid w:val="000611D1"/>
    <w:rsid w:val="00072E96"/>
    <w:rsid w:val="00083DF5"/>
    <w:rsid w:val="000A3ADE"/>
    <w:rsid w:val="000B2CE9"/>
    <w:rsid w:val="000C0A09"/>
    <w:rsid w:val="000D0D4F"/>
    <w:rsid w:val="00103A43"/>
    <w:rsid w:val="00111B8E"/>
    <w:rsid w:val="00123DB0"/>
    <w:rsid w:val="00126CE8"/>
    <w:rsid w:val="00147718"/>
    <w:rsid w:val="00167158"/>
    <w:rsid w:val="001A02A7"/>
    <w:rsid w:val="001D6A92"/>
    <w:rsid w:val="001F38E4"/>
    <w:rsid w:val="00203C77"/>
    <w:rsid w:val="00231555"/>
    <w:rsid w:val="00233561"/>
    <w:rsid w:val="0024086B"/>
    <w:rsid w:val="00241E16"/>
    <w:rsid w:val="00243B99"/>
    <w:rsid w:val="00255F08"/>
    <w:rsid w:val="00261D99"/>
    <w:rsid w:val="00272AFE"/>
    <w:rsid w:val="00273036"/>
    <w:rsid w:val="00285116"/>
    <w:rsid w:val="00287DE0"/>
    <w:rsid w:val="002A6916"/>
    <w:rsid w:val="002A7477"/>
    <w:rsid w:val="002B1A53"/>
    <w:rsid w:val="002B2123"/>
    <w:rsid w:val="00332F9A"/>
    <w:rsid w:val="0034234E"/>
    <w:rsid w:val="00350A98"/>
    <w:rsid w:val="003840CC"/>
    <w:rsid w:val="003A6967"/>
    <w:rsid w:val="003D017F"/>
    <w:rsid w:val="003D4C28"/>
    <w:rsid w:val="003E0989"/>
    <w:rsid w:val="00400980"/>
    <w:rsid w:val="00411128"/>
    <w:rsid w:val="0043605F"/>
    <w:rsid w:val="00440707"/>
    <w:rsid w:val="004652CE"/>
    <w:rsid w:val="004839A5"/>
    <w:rsid w:val="004875E5"/>
    <w:rsid w:val="004A4315"/>
    <w:rsid w:val="004D2D69"/>
    <w:rsid w:val="004F3222"/>
    <w:rsid w:val="004F7394"/>
    <w:rsid w:val="00523703"/>
    <w:rsid w:val="00527409"/>
    <w:rsid w:val="00534969"/>
    <w:rsid w:val="00552434"/>
    <w:rsid w:val="005735CD"/>
    <w:rsid w:val="00573768"/>
    <w:rsid w:val="0058038B"/>
    <w:rsid w:val="005C15AE"/>
    <w:rsid w:val="005C7D6A"/>
    <w:rsid w:val="005E15CA"/>
    <w:rsid w:val="005E4D2D"/>
    <w:rsid w:val="0060539F"/>
    <w:rsid w:val="0062365E"/>
    <w:rsid w:val="0065207F"/>
    <w:rsid w:val="00653D6E"/>
    <w:rsid w:val="006774DA"/>
    <w:rsid w:val="006845AC"/>
    <w:rsid w:val="006A1870"/>
    <w:rsid w:val="006C069B"/>
    <w:rsid w:val="006C5A6A"/>
    <w:rsid w:val="006C7348"/>
    <w:rsid w:val="006D578A"/>
    <w:rsid w:val="006F14EB"/>
    <w:rsid w:val="006F5C24"/>
    <w:rsid w:val="006F5FFA"/>
    <w:rsid w:val="00700C15"/>
    <w:rsid w:val="00705922"/>
    <w:rsid w:val="00711AC4"/>
    <w:rsid w:val="00716ABB"/>
    <w:rsid w:val="00734853"/>
    <w:rsid w:val="00753AFA"/>
    <w:rsid w:val="00761DF6"/>
    <w:rsid w:val="0077023D"/>
    <w:rsid w:val="00782734"/>
    <w:rsid w:val="007A45A6"/>
    <w:rsid w:val="007A7458"/>
    <w:rsid w:val="007C44F3"/>
    <w:rsid w:val="007D1975"/>
    <w:rsid w:val="007F2808"/>
    <w:rsid w:val="00811C35"/>
    <w:rsid w:val="00845F8F"/>
    <w:rsid w:val="00893A71"/>
    <w:rsid w:val="00893E23"/>
    <w:rsid w:val="008A03E0"/>
    <w:rsid w:val="008B3ACA"/>
    <w:rsid w:val="008F40EF"/>
    <w:rsid w:val="008F62B2"/>
    <w:rsid w:val="00910769"/>
    <w:rsid w:val="009213C1"/>
    <w:rsid w:val="00930147"/>
    <w:rsid w:val="00960F51"/>
    <w:rsid w:val="00967B62"/>
    <w:rsid w:val="009857E6"/>
    <w:rsid w:val="00990069"/>
    <w:rsid w:val="009B3949"/>
    <w:rsid w:val="009C1083"/>
    <w:rsid w:val="009C75F7"/>
    <w:rsid w:val="009F0BFA"/>
    <w:rsid w:val="009F5529"/>
    <w:rsid w:val="00A06372"/>
    <w:rsid w:val="00A22AC3"/>
    <w:rsid w:val="00A45E05"/>
    <w:rsid w:val="00A6388B"/>
    <w:rsid w:val="00A9284E"/>
    <w:rsid w:val="00AB7DBA"/>
    <w:rsid w:val="00AD50F2"/>
    <w:rsid w:val="00AD6D73"/>
    <w:rsid w:val="00B31069"/>
    <w:rsid w:val="00B72D48"/>
    <w:rsid w:val="00B841EA"/>
    <w:rsid w:val="00BA6B8A"/>
    <w:rsid w:val="00C3660C"/>
    <w:rsid w:val="00C42CC0"/>
    <w:rsid w:val="00C6101A"/>
    <w:rsid w:val="00C61F9F"/>
    <w:rsid w:val="00CA6369"/>
    <w:rsid w:val="00CD3DF5"/>
    <w:rsid w:val="00CD7A67"/>
    <w:rsid w:val="00CE4E0C"/>
    <w:rsid w:val="00CF30DD"/>
    <w:rsid w:val="00D1166C"/>
    <w:rsid w:val="00D27B18"/>
    <w:rsid w:val="00D928DB"/>
    <w:rsid w:val="00DA02C7"/>
    <w:rsid w:val="00DA7328"/>
    <w:rsid w:val="00DB1F08"/>
    <w:rsid w:val="00DC4671"/>
    <w:rsid w:val="00DD1AD9"/>
    <w:rsid w:val="00DF6505"/>
    <w:rsid w:val="00E215D7"/>
    <w:rsid w:val="00E30D0E"/>
    <w:rsid w:val="00E3390A"/>
    <w:rsid w:val="00E635F3"/>
    <w:rsid w:val="00E70000"/>
    <w:rsid w:val="00E70ECE"/>
    <w:rsid w:val="00E81838"/>
    <w:rsid w:val="00E84073"/>
    <w:rsid w:val="00E93E74"/>
    <w:rsid w:val="00EA29B6"/>
    <w:rsid w:val="00EC2F62"/>
    <w:rsid w:val="00EE2807"/>
    <w:rsid w:val="00EE3904"/>
    <w:rsid w:val="00F1711F"/>
    <w:rsid w:val="00F33E64"/>
    <w:rsid w:val="00F53D53"/>
    <w:rsid w:val="00F54A7C"/>
    <w:rsid w:val="00F570EA"/>
    <w:rsid w:val="00F87891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nau.edu/avpaa/timelines/1213Effective.xl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u.edu/gradcol/UGC/UGC_FastTrack_Policy&amp;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8BD2-8AD5-4CFA-9281-91BA3D7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7</cp:revision>
  <dcterms:created xsi:type="dcterms:W3CDTF">2013-08-27T17:58:00Z</dcterms:created>
  <dcterms:modified xsi:type="dcterms:W3CDTF">2013-12-11T00:49:00Z</dcterms:modified>
</cp:coreProperties>
</file>