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75FF4"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2139DA" w:rsidP="00A353DD">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2139DA" w:rsidP="00A45E05">
            <w:pPr>
              <w:rPr>
                <w:rFonts w:ascii="Arial" w:hAnsi="Arial" w:cs="Arial"/>
                <w:b/>
                <w:sz w:val="24"/>
                <w:szCs w:val="24"/>
              </w:rPr>
            </w:pPr>
            <w:r>
              <w:rPr>
                <w:rFonts w:ascii="Arial" w:hAnsi="Arial" w:cs="Arial"/>
                <w:b/>
                <w:sz w:val="24"/>
                <w:szCs w:val="24"/>
              </w:rPr>
              <w:t>School of Art</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2139DA" w:rsidP="002139DA">
            <w:pPr>
              <w:rPr>
                <w:rFonts w:ascii="Arial" w:hAnsi="Arial" w:cs="Arial"/>
                <w:b/>
                <w:sz w:val="24"/>
                <w:szCs w:val="24"/>
              </w:rPr>
            </w:pPr>
            <w:r>
              <w:rPr>
                <w:rFonts w:ascii="Arial" w:hAnsi="Arial" w:cs="Arial"/>
                <w:b/>
                <w:sz w:val="24"/>
                <w:szCs w:val="24"/>
              </w:rPr>
              <w:t>Art Education; B.S.Ed. (AREDBSEDX)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4C354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75FF4"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75FF4"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75FF4"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75FF4"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A353D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75FF4"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tbl>
            <w:tblPr>
              <w:tblW w:w="8920" w:type="dxa"/>
              <w:tblLayout w:type="fixed"/>
              <w:tblLook w:val="04A0"/>
            </w:tblPr>
            <w:tblGrid>
              <w:gridCol w:w="8920"/>
            </w:tblGrid>
            <w:tr w:rsidR="002139DA" w:rsidRPr="002139DA" w:rsidTr="002139DA">
              <w:trPr>
                <w:trHeight w:val="300"/>
              </w:trPr>
              <w:tc>
                <w:tcPr>
                  <w:tcW w:w="8920" w:type="dxa"/>
                  <w:tcBorders>
                    <w:left w:val="nil"/>
                    <w:bottom w:val="nil"/>
                  </w:tcBorders>
                  <w:shd w:val="clear" w:color="auto" w:fill="auto"/>
                  <w:vAlign w:val="bottom"/>
                  <w:hideMark/>
                </w:tcPr>
                <w:p w:rsidR="002139DA" w:rsidRPr="002139DA" w:rsidRDefault="002139DA" w:rsidP="002139DA">
                  <w:pPr>
                    <w:rPr>
                      <w:rFonts w:ascii="Arial" w:hAnsi="Arial" w:cs="Arial"/>
                      <w:color w:val="000000"/>
                      <w:sz w:val="24"/>
                      <w:szCs w:val="24"/>
                    </w:rPr>
                  </w:pPr>
                </w:p>
                <w:p w:rsidR="002139DA" w:rsidRDefault="002139DA" w:rsidP="002139DA">
                  <w:pPr>
                    <w:rPr>
                      <w:rFonts w:ascii="Arial" w:hAnsi="Arial" w:cs="Arial"/>
                      <w:color w:val="000000"/>
                      <w:sz w:val="24"/>
                      <w:szCs w:val="24"/>
                    </w:rPr>
                  </w:pPr>
                  <w:r w:rsidRPr="002139DA">
                    <w:rPr>
                      <w:rFonts w:ascii="Arial" w:hAnsi="Arial" w:cs="Arial"/>
                      <w:color w:val="000000"/>
                      <w:sz w:val="24"/>
                      <w:szCs w:val="24"/>
                    </w:rPr>
                    <w:t xml:space="preserve"> </w:t>
                  </w:r>
                </w:p>
                <w:p w:rsidR="002139DA" w:rsidRDefault="002139DA" w:rsidP="002139DA">
                  <w:pPr>
                    <w:rPr>
                      <w:rFonts w:ascii="Arial" w:hAnsi="Arial" w:cs="Arial"/>
                      <w:color w:val="000000"/>
                      <w:sz w:val="24"/>
                      <w:szCs w:val="24"/>
                    </w:rPr>
                  </w:pPr>
                  <w:r w:rsidRPr="002139DA">
                    <w:rPr>
                      <w:rFonts w:ascii="Arial" w:hAnsi="Arial" w:cs="Arial"/>
                      <w:color w:val="000000"/>
                      <w:sz w:val="24"/>
                      <w:szCs w:val="24"/>
                    </w:rPr>
                    <w:t>All students graduating with a BS Ed Secondary</w:t>
                  </w:r>
                </w:p>
                <w:p w:rsidR="00E54917" w:rsidRDefault="002139DA" w:rsidP="002139DA">
                  <w:pPr>
                    <w:rPr>
                      <w:rFonts w:ascii="Arial" w:hAnsi="Arial" w:cs="Arial"/>
                      <w:color w:val="000000"/>
                      <w:sz w:val="24"/>
                      <w:szCs w:val="24"/>
                    </w:rPr>
                  </w:pPr>
                  <w:r w:rsidRPr="002139DA">
                    <w:rPr>
                      <w:rFonts w:ascii="Arial" w:hAnsi="Arial" w:cs="Arial"/>
                      <w:color w:val="000000"/>
                      <w:sz w:val="24"/>
                      <w:szCs w:val="24"/>
                    </w:rPr>
                    <w:t xml:space="preserve">in Art will be able to: </w:t>
                  </w:r>
                </w:p>
                <w:p w:rsidR="002139DA" w:rsidRPr="002139DA" w:rsidRDefault="002139DA" w:rsidP="002139DA">
                  <w:pPr>
                    <w:rPr>
                      <w:rFonts w:ascii="Arial" w:hAnsi="Arial" w:cs="Arial"/>
                      <w:color w:val="000000"/>
                      <w:sz w:val="24"/>
                      <w:szCs w:val="24"/>
                    </w:rPr>
                  </w:pPr>
                  <w:r w:rsidRPr="002139DA">
                    <w:rPr>
                      <w:rFonts w:ascii="Arial" w:hAnsi="Arial" w:cs="Arial"/>
                      <w:color w:val="000000"/>
                      <w:sz w:val="24"/>
                      <w:szCs w:val="24"/>
                    </w:rPr>
                    <w:t xml:space="preserve">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E54917" w:rsidRDefault="002139DA" w:rsidP="002139DA">
                  <w:pPr>
                    <w:rPr>
                      <w:rFonts w:ascii="Arial" w:hAnsi="Arial" w:cs="Arial"/>
                      <w:color w:val="000000"/>
                      <w:sz w:val="24"/>
                      <w:szCs w:val="24"/>
                    </w:rPr>
                  </w:pPr>
                  <w:r w:rsidRPr="002139DA">
                    <w:rPr>
                      <w:rFonts w:ascii="Arial" w:hAnsi="Arial" w:cs="Arial"/>
                      <w:color w:val="000000"/>
                      <w:sz w:val="24"/>
                      <w:szCs w:val="24"/>
                    </w:rPr>
                    <w:t>1)</w:t>
                  </w:r>
                  <w:r w:rsidR="00E54917">
                    <w:rPr>
                      <w:rFonts w:ascii="Arial" w:hAnsi="Arial" w:cs="Arial"/>
                      <w:color w:val="000000"/>
                      <w:sz w:val="24"/>
                      <w:szCs w:val="24"/>
                    </w:rPr>
                    <w:t xml:space="preserve">  </w:t>
                  </w:r>
                  <w:r w:rsidRPr="002139DA">
                    <w:rPr>
                      <w:rFonts w:ascii="Arial" w:hAnsi="Arial" w:cs="Arial"/>
                      <w:color w:val="000000"/>
                      <w:sz w:val="24"/>
                      <w:szCs w:val="24"/>
                    </w:rPr>
                    <w:t>Make good judgments about qualitative</w:t>
                  </w:r>
                </w:p>
                <w:p w:rsidR="002139DA" w:rsidRPr="002139DA" w:rsidRDefault="00E54917" w:rsidP="002139DA">
                  <w:pPr>
                    <w:rPr>
                      <w:rFonts w:ascii="Arial" w:hAnsi="Arial" w:cs="Arial"/>
                      <w:color w:val="000000"/>
                      <w:sz w:val="24"/>
                      <w:szCs w:val="24"/>
                    </w:rPr>
                  </w:pPr>
                  <w:r>
                    <w:rPr>
                      <w:rFonts w:ascii="Arial" w:hAnsi="Arial" w:cs="Arial"/>
                      <w:color w:val="000000"/>
                      <w:sz w:val="24"/>
                      <w:szCs w:val="24"/>
                    </w:rPr>
                    <w:t xml:space="preserve">     </w:t>
                  </w:r>
                  <w:r w:rsidR="002139DA" w:rsidRPr="002139DA">
                    <w:rPr>
                      <w:rFonts w:ascii="Arial" w:hAnsi="Arial" w:cs="Arial"/>
                      <w:color w:val="000000"/>
                      <w:sz w:val="24"/>
                      <w:szCs w:val="24"/>
                    </w:rPr>
                    <w:t xml:space="preserve"> relationships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E54917" w:rsidRDefault="002139DA" w:rsidP="00E54917">
                  <w:pPr>
                    <w:rPr>
                      <w:rFonts w:ascii="Arial" w:hAnsi="Arial" w:cs="Arial"/>
                      <w:color w:val="000000"/>
                      <w:sz w:val="24"/>
                      <w:szCs w:val="24"/>
                    </w:rPr>
                  </w:pPr>
                  <w:r w:rsidRPr="002139DA">
                    <w:rPr>
                      <w:rFonts w:ascii="Arial" w:hAnsi="Arial" w:cs="Arial"/>
                      <w:color w:val="000000"/>
                      <w:sz w:val="24"/>
                      <w:szCs w:val="24"/>
                    </w:rPr>
                    <w:t>2)</w:t>
                  </w:r>
                  <w:r w:rsidR="00E54917">
                    <w:rPr>
                      <w:rFonts w:ascii="Arial" w:hAnsi="Arial" w:cs="Arial"/>
                      <w:color w:val="000000"/>
                      <w:sz w:val="24"/>
                      <w:szCs w:val="24"/>
                    </w:rPr>
                    <w:t xml:space="preserve">  </w:t>
                  </w:r>
                  <w:r w:rsidRPr="002139DA">
                    <w:rPr>
                      <w:rFonts w:ascii="Arial" w:hAnsi="Arial" w:cs="Arial"/>
                      <w:color w:val="000000"/>
                      <w:sz w:val="24"/>
                      <w:szCs w:val="24"/>
                    </w:rPr>
                    <w:t>Consider more than one solution or answer</w:t>
                  </w:r>
                </w:p>
                <w:p w:rsidR="002139DA" w:rsidRPr="002139DA" w:rsidRDefault="00E54917" w:rsidP="00E54917">
                  <w:pPr>
                    <w:rPr>
                      <w:rFonts w:ascii="Arial" w:hAnsi="Arial" w:cs="Arial"/>
                      <w:color w:val="000000"/>
                      <w:sz w:val="24"/>
                      <w:szCs w:val="24"/>
                    </w:rPr>
                  </w:pPr>
                  <w:r>
                    <w:rPr>
                      <w:rFonts w:ascii="Arial" w:hAnsi="Arial" w:cs="Arial"/>
                      <w:color w:val="000000"/>
                      <w:sz w:val="24"/>
                      <w:szCs w:val="24"/>
                    </w:rPr>
                    <w:t xml:space="preserve">      </w:t>
                  </w:r>
                  <w:r w:rsidR="002139DA" w:rsidRPr="002139DA">
                    <w:rPr>
                      <w:rFonts w:ascii="Arial" w:hAnsi="Arial" w:cs="Arial"/>
                      <w:color w:val="000000"/>
                      <w:sz w:val="24"/>
                      <w:szCs w:val="24"/>
                    </w:rPr>
                    <w:t xml:space="preserve">to individual problems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2139DA" w:rsidRPr="002139DA" w:rsidRDefault="002139DA" w:rsidP="00E54917">
                  <w:pPr>
                    <w:rPr>
                      <w:rFonts w:ascii="Arial" w:hAnsi="Arial" w:cs="Arial"/>
                      <w:color w:val="000000"/>
                      <w:sz w:val="24"/>
                      <w:szCs w:val="24"/>
                    </w:rPr>
                  </w:pPr>
                  <w:r w:rsidRPr="002139DA">
                    <w:rPr>
                      <w:rFonts w:ascii="Arial" w:hAnsi="Arial" w:cs="Arial"/>
                      <w:color w:val="000000"/>
                      <w:sz w:val="24"/>
                      <w:szCs w:val="24"/>
                    </w:rPr>
                    <w:t>3)</w:t>
                  </w:r>
                  <w:r w:rsidR="00E54917">
                    <w:rPr>
                      <w:rFonts w:ascii="Arial" w:hAnsi="Arial" w:cs="Arial"/>
                      <w:color w:val="000000"/>
                      <w:sz w:val="24"/>
                      <w:szCs w:val="24"/>
                    </w:rPr>
                    <w:t xml:space="preserve">  </w:t>
                  </w:r>
                  <w:r w:rsidRPr="002139DA">
                    <w:rPr>
                      <w:rFonts w:ascii="Arial" w:hAnsi="Arial" w:cs="Arial"/>
                      <w:color w:val="000000"/>
                      <w:sz w:val="24"/>
                      <w:szCs w:val="24"/>
                    </w:rPr>
                    <w:t xml:space="preserve">Celebrate and value multiple perspectives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2139DA" w:rsidRPr="002139DA" w:rsidRDefault="002139DA" w:rsidP="00E54917">
                  <w:pPr>
                    <w:rPr>
                      <w:rFonts w:ascii="Arial" w:hAnsi="Arial" w:cs="Arial"/>
                      <w:color w:val="000000"/>
                      <w:sz w:val="24"/>
                      <w:szCs w:val="24"/>
                    </w:rPr>
                  </w:pPr>
                  <w:r w:rsidRPr="002139DA">
                    <w:rPr>
                      <w:rFonts w:ascii="Arial" w:hAnsi="Arial" w:cs="Arial"/>
                      <w:color w:val="000000"/>
                      <w:sz w:val="24"/>
                      <w:szCs w:val="24"/>
                    </w:rPr>
                    <w:t>4)</w:t>
                  </w:r>
                  <w:r w:rsidR="00E54917">
                    <w:rPr>
                      <w:rFonts w:ascii="Arial" w:hAnsi="Arial" w:cs="Arial"/>
                      <w:color w:val="000000"/>
                      <w:sz w:val="24"/>
                      <w:szCs w:val="24"/>
                    </w:rPr>
                    <w:t xml:space="preserve">  </w:t>
                  </w:r>
                  <w:r w:rsidRPr="002139DA">
                    <w:rPr>
                      <w:rFonts w:ascii="Arial" w:hAnsi="Arial" w:cs="Arial"/>
                      <w:color w:val="000000"/>
                      <w:sz w:val="24"/>
                      <w:szCs w:val="24"/>
                    </w:rPr>
                    <w:t xml:space="preserve">Problem solve in complex ways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E54917" w:rsidRDefault="002139DA" w:rsidP="002139DA">
                  <w:pPr>
                    <w:rPr>
                      <w:rFonts w:ascii="Arial" w:hAnsi="Arial" w:cs="Arial"/>
                      <w:color w:val="000000"/>
                      <w:sz w:val="24"/>
                      <w:szCs w:val="24"/>
                    </w:rPr>
                  </w:pPr>
                  <w:r w:rsidRPr="002139DA">
                    <w:rPr>
                      <w:rFonts w:ascii="Arial" w:hAnsi="Arial" w:cs="Arial"/>
                      <w:color w:val="000000"/>
                      <w:sz w:val="24"/>
                      <w:szCs w:val="24"/>
                    </w:rPr>
                    <w:t>5)</w:t>
                  </w:r>
                  <w:r w:rsidR="00E54917">
                    <w:rPr>
                      <w:rFonts w:ascii="Arial" w:hAnsi="Arial" w:cs="Arial"/>
                      <w:color w:val="000000"/>
                      <w:sz w:val="24"/>
                      <w:szCs w:val="24"/>
                    </w:rPr>
                    <w:t xml:space="preserve">  </w:t>
                  </w:r>
                  <w:r w:rsidRPr="002139DA">
                    <w:rPr>
                      <w:rFonts w:ascii="Arial" w:hAnsi="Arial" w:cs="Arial"/>
                      <w:color w:val="000000"/>
                      <w:sz w:val="24"/>
                      <w:szCs w:val="24"/>
                    </w:rPr>
                    <w:t>Effectively communicate beyond words and</w:t>
                  </w:r>
                </w:p>
                <w:p w:rsidR="002139DA" w:rsidRPr="002139DA" w:rsidRDefault="00E54917" w:rsidP="002139DA">
                  <w:pPr>
                    <w:rPr>
                      <w:rFonts w:ascii="Arial" w:hAnsi="Arial" w:cs="Arial"/>
                      <w:color w:val="000000"/>
                      <w:sz w:val="24"/>
                      <w:szCs w:val="24"/>
                    </w:rPr>
                  </w:pPr>
                  <w:r>
                    <w:rPr>
                      <w:rFonts w:ascii="Arial" w:hAnsi="Arial" w:cs="Arial"/>
                      <w:color w:val="000000"/>
                      <w:sz w:val="24"/>
                      <w:szCs w:val="24"/>
                    </w:rPr>
                    <w:t xml:space="preserve">    </w:t>
                  </w:r>
                  <w:r w:rsidR="002139DA" w:rsidRPr="002139DA">
                    <w:rPr>
                      <w:rFonts w:ascii="Arial" w:hAnsi="Arial" w:cs="Arial"/>
                      <w:color w:val="000000"/>
                      <w:sz w:val="24"/>
                      <w:szCs w:val="24"/>
                    </w:rPr>
                    <w:t xml:space="preserve"> numbers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2139DA" w:rsidRPr="002139DA" w:rsidRDefault="002139DA" w:rsidP="002139DA">
                  <w:pPr>
                    <w:rPr>
                      <w:rFonts w:ascii="Arial" w:hAnsi="Arial" w:cs="Arial"/>
                      <w:color w:val="000000"/>
                      <w:sz w:val="24"/>
                      <w:szCs w:val="24"/>
                    </w:rPr>
                  </w:pPr>
                  <w:r w:rsidRPr="002139DA">
                    <w:rPr>
                      <w:rFonts w:ascii="Arial" w:hAnsi="Arial" w:cs="Arial"/>
                      <w:color w:val="000000"/>
                      <w:sz w:val="24"/>
                      <w:szCs w:val="24"/>
                    </w:rPr>
                    <w:lastRenderedPageBreak/>
                    <w:t>6)</w:t>
                  </w:r>
                  <w:r w:rsidR="00E54917">
                    <w:rPr>
                      <w:rFonts w:ascii="Arial" w:hAnsi="Arial" w:cs="Arial"/>
                      <w:color w:val="000000"/>
                      <w:sz w:val="24"/>
                      <w:szCs w:val="24"/>
                    </w:rPr>
                    <w:t xml:space="preserve">  </w:t>
                  </w:r>
                  <w:r w:rsidRPr="002139DA">
                    <w:rPr>
                      <w:rFonts w:ascii="Arial" w:hAnsi="Arial" w:cs="Arial"/>
                      <w:color w:val="000000"/>
                      <w:sz w:val="24"/>
                      <w:szCs w:val="24"/>
                    </w:rPr>
                    <w:t xml:space="preserve">Examine subtleties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2139DA" w:rsidRPr="002139DA" w:rsidRDefault="002139DA" w:rsidP="002139DA">
                  <w:pPr>
                    <w:rPr>
                      <w:rFonts w:ascii="Arial" w:hAnsi="Arial" w:cs="Arial"/>
                      <w:color w:val="000000"/>
                      <w:sz w:val="24"/>
                      <w:szCs w:val="24"/>
                    </w:rPr>
                  </w:pPr>
                  <w:r w:rsidRPr="002139DA">
                    <w:rPr>
                      <w:rFonts w:ascii="Arial" w:hAnsi="Arial" w:cs="Arial"/>
                      <w:color w:val="000000"/>
                      <w:sz w:val="24"/>
                      <w:szCs w:val="24"/>
                    </w:rPr>
                    <w:t>7)</w:t>
                  </w:r>
                  <w:r w:rsidR="00E54917">
                    <w:rPr>
                      <w:rFonts w:ascii="Arial" w:hAnsi="Arial" w:cs="Arial"/>
                      <w:color w:val="000000"/>
                      <w:sz w:val="24"/>
                      <w:szCs w:val="24"/>
                    </w:rPr>
                    <w:t xml:space="preserve">  </w:t>
                  </w:r>
                  <w:r w:rsidRPr="002139DA">
                    <w:rPr>
                      <w:rFonts w:ascii="Arial" w:hAnsi="Arial" w:cs="Arial"/>
                      <w:color w:val="000000"/>
                      <w:sz w:val="24"/>
                      <w:szCs w:val="24"/>
                    </w:rPr>
                    <w:t xml:space="preserve">Think through and within material </w:t>
                  </w:r>
                </w:p>
              </w:tc>
            </w:tr>
            <w:tr w:rsidR="002139DA" w:rsidRPr="002139DA" w:rsidTr="002139DA">
              <w:trPr>
                <w:trHeight w:val="300"/>
              </w:trPr>
              <w:tc>
                <w:tcPr>
                  <w:tcW w:w="8920" w:type="dxa"/>
                  <w:tcBorders>
                    <w:top w:val="nil"/>
                    <w:left w:val="nil"/>
                    <w:bottom w:val="nil"/>
                    <w:right w:val="single" w:sz="4" w:space="0" w:color="auto"/>
                  </w:tcBorders>
                  <w:shd w:val="clear" w:color="auto" w:fill="auto"/>
                  <w:vAlign w:val="bottom"/>
                  <w:hideMark/>
                </w:tcPr>
                <w:p w:rsidR="002139DA" w:rsidRPr="002139DA" w:rsidRDefault="002139DA" w:rsidP="002139DA">
                  <w:pPr>
                    <w:rPr>
                      <w:rFonts w:ascii="Arial" w:hAnsi="Arial" w:cs="Arial"/>
                      <w:color w:val="000000"/>
                      <w:sz w:val="24"/>
                      <w:szCs w:val="24"/>
                    </w:rPr>
                  </w:pPr>
                  <w:r w:rsidRPr="002139DA">
                    <w:rPr>
                      <w:rFonts w:ascii="Arial" w:hAnsi="Arial" w:cs="Arial"/>
                      <w:color w:val="000000"/>
                      <w:sz w:val="24"/>
                      <w:szCs w:val="24"/>
                    </w:rPr>
                    <w:t>8)</w:t>
                  </w:r>
                  <w:r w:rsidR="00E54917">
                    <w:rPr>
                      <w:rFonts w:ascii="Arial" w:hAnsi="Arial" w:cs="Arial"/>
                      <w:color w:val="000000"/>
                      <w:sz w:val="24"/>
                      <w:szCs w:val="24"/>
                    </w:rPr>
                    <w:t xml:space="preserve">  </w:t>
                  </w:r>
                  <w:r w:rsidRPr="002139DA">
                    <w:rPr>
                      <w:rFonts w:ascii="Arial" w:hAnsi="Arial" w:cs="Arial"/>
                      <w:color w:val="000000"/>
                      <w:sz w:val="24"/>
                      <w:szCs w:val="24"/>
                    </w:rPr>
                    <w:t xml:space="preserve">Express what cannot be said </w:t>
                  </w:r>
                </w:p>
              </w:tc>
            </w:tr>
            <w:tr w:rsidR="002139DA" w:rsidRPr="002139DA" w:rsidTr="002139DA">
              <w:trPr>
                <w:trHeight w:val="300"/>
              </w:trPr>
              <w:tc>
                <w:tcPr>
                  <w:tcW w:w="8920" w:type="dxa"/>
                  <w:tcBorders>
                    <w:top w:val="nil"/>
                    <w:left w:val="nil"/>
                    <w:right w:val="single" w:sz="4" w:space="0" w:color="auto"/>
                  </w:tcBorders>
                  <w:shd w:val="clear" w:color="auto" w:fill="auto"/>
                  <w:vAlign w:val="bottom"/>
                  <w:hideMark/>
                </w:tcPr>
                <w:p w:rsidR="00E54917" w:rsidRDefault="002139DA" w:rsidP="002139DA">
                  <w:pPr>
                    <w:rPr>
                      <w:rFonts w:ascii="Arial" w:hAnsi="Arial" w:cs="Arial"/>
                      <w:color w:val="000000"/>
                      <w:sz w:val="24"/>
                      <w:szCs w:val="24"/>
                    </w:rPr>
                  </w:pPr>
                  <w:r w:rsidRPr="002139DA">
                    <w:rPr>
                      <w:rFonts w:ascii="Arial" w:hAnsi="Arial" w:cs="Arial"/>
                      <w:color w:val="000000"/>
                      <w:sz w:val="24"/>
                      <w:szCs w:val="24"/>
                    </w:rPr>
                    <w:t>9)</w:t>
                  </w:r>
                  <w:r w:rsidR="00E54917">
                    <w:rPr>
                      <w:rFonts w:ascii="Arial" w:hAnsi="Arial" w:cs="Arial"/>
                      <w:color w:val="000000"/>
                      <w:sz w:val="24"/>
                      <w:szCs w:val="24"/>
                    </w:rPr>
                    <w:t xml:space="preserve">  </w:t>
                  </w:r>
                  <w:r w:rsidRPr="002139DA">
                    <w:rPr>
                      <w:rFonts w:ascii="Arial" w:hAnsi="Arial" w:cs="Arial"/>
                      <w:color w:val="000000"/>
                      <w:sz w:val="24"/>
                      <w:szCs w:val="24"/>
                    </w:rPr>
                    <w:t xml:space="preserve">Explore the range and variety of human </w:t>
                  </w:r>
                </w:p>
                <w:p w:rsidR="002139DA" w:rsidRPr="002139DA" w:rsidRDefault="00E54917" w:rsidP="002139DA">
                  <w:pPr>
                    <w:rPr>
                      <w:rFonts w:ascii="Arial" w:hAnsi="Arial" w:cs="Arial"/>
                      <w:color w:val="000000"/>
                      <w:sz w:val="24"/>
                      <w:szCs w:val="24"/>
                    </w:rPr>
                  </w:pPr>
                  <w:r>
                    <w:rPr>
                      <w:rFonts w:ascii="Arial" w:hAnsi="Arial" w:cs="Arial"/>
                      <w:color w:val="000000"/>
                      <w:sz w:val="24"/>
                      <w:szCs w:val="24"/>
                    </w:rPr>
                    <w:t xml:space="preserve">     </w:t>
                  </w:r>
                  <w:r w:rsidR="002139DA" w:rsidRPr="002139DA">
                    <w:rPr>
                      <w:rFonts w:ascii="Arial" w:hAnsi="Arial" w:cs="Arial"/>
                      <w:color w:val="000000"/>
                      <w:sz w:val="24"/>
                      <w:szCs w:val="24"/>
                    </w:rPr>
                    <w:t xml:space="preserve">experience </w:t>
                  </w:r>
                </w:p>
              </w:tc>
            </w:tr>
            <w:tr w:rsidR="002139DA" w:rsidRPr="002139DA" w:rsidTr="002139DA">
              <w:trPr>
                <w:trHeight w:val="300"/>
              </w:trPr>
              <w:tc>
                <w:tcPr>
                  <w:tcW w:w="8920" w:type="dxa"/>
                  <w:tcBorders>
                    <w:top w:val="nil"/>
                    <w:left w:val="nil"/>
                  </w:tcBorders>
                  <w:shd w:val="clear" w:color="auto" w:fill="auto"/>
                  <w:vAlign w:val="bottom"/>
                  <w:hideMark/>
                </w:tcPr>
                <w:p w:rsidR="00E54917" w:rsidRDefault="002139DA" w:rsidP="002139DA">
                  <w:pPr>
                    <w:rPr>
                      <w:rFonts w:ascii="Arial" w:hAnsi="Arial" w:cs="Arial"/>
                      <w:color w:val="000000"/>
                      <w:sz w:val="24"/>
                      <w:szCs w:val="24"/>
                    </w:rPr>
                  </w:pPr>
                  <w:r w:rsidRPr="002139DA">
                    <w:rPr>
                      <w:rFonts w:ascii="Arial" w:hAnsi="Arial" w:cs="Arial"/>
                      <w:color w:val="000000"/>
                      <w:sz w:val="24"/>
                      <w:szCs w:val="24"/>
                    </w:rPr>
                    <w:t>10)</w:t>
                  </w:r>
                  <w:r w:rsidR="00E54917">
                    <w:rPr>
                      <w:rFonts w:ascii="Arial" w:hAnsi="Arial" w:cs="Arial"/>
                      <w:color w:val="000000"/>
                      <w:sz w:val="24"/>
                      <w:szCs w:val="24"/>
                    </w:rPr>
                    <w:t xml:space="preserve">  </w:t>
                  </w:r>
                  <w:r w:rsidRPr="002139DA">
                    <w:rPr>
                      <w:rFonts w:ascii="Arial" w:hAnsi="Arial" w:cs="Arial"/>
                      <w:color w:val="000000"/>
                      <w:sz w:val="24"/>
                      <w:szCs w:val="24"/>
                    </w:rPr>
                    <w:t xml:space="preserve">Value the arts as integral to human </w:t>
                  </w:r>
                </w:p>
                <w:p w:rsidR="002139DA" w:rsidRPr="002139DA" w:rsidRDefault="00E54917" w:rsidP="00E54917">
                  <w:pPr>
                    <w:rPr>
                      <w:rFonts w:ascii="Arial" w:hAnsi="Arial" w:cs="Arial"/>
                      <w:color w:val="000000"/>
                      <w:sz w:val="24"/>
                      <w:szCs w:val="24"/>
                    </w:rPr>
                  </w:pPr>
                  <w:r>
                    <w:rPr>
                      <w:rFonts w:ascii="Arial" w:hAnsi="Arial" w:cs="Arial"/>
                      <w:color w:val="000000"/>
                      <w:sz w:val="24"/>
                      <w:szCs w:val="24"/>
                    </w:rPr>
                    <w:t xml:space="preserve">      </w:t>
                  </w:r>
                  <w:r w:rsidR="002139DA" w:rsidRPr="002139DA">
                    <w:rPr>
                      <w:rFonts w:ascii="Arial" w:hAnsi="Arial" w:cs="Arial"/>
                      <w:color w:val="000000"/>
                      <w:sz w:val="24"/>
                      <w:szCs w:val="24"/>
                    </w:rPr>
                    <w:t>expression and</w:t>
                  </w:r>
                  <w:r>
                    <w:rPr>
                      <w:rFonts w:ascii="Arial" w:hAnsi="Arial" w:cs="Arial"/>
                      <w:color w:val="000000"/>
                      <w:sz w:val="24"/>
                      <w:szCs w:val="24"/>
                    </w:rPr>
                    <w:t xml:space="preserve"> </w:t>
                  </w:r>
                  <w:r w:rsidR="002139DA" w:rsidRPr="002139DA">
                    <w:rPr>
                      <w:rFonts w:ascii="Arial" w:hAnsi="Arial" w:cs="Arial"/>
                      <w:color w:val="000000"/>
                      <w:sz w:val="24"/>
                      <w:szCs w:val="24"/>
                    </w:rPr>
                    <w:t>existence</w:t>
                  </w:r>
                </w:p>
              </w:tc>
            </w:tr>
          </w:tbl>
          <w:p w:rsidR="004C354D" w:rsidRPr="004C0F14" w:rsidRDefault="00A353DD" w:rsidP="00A353DD">
            <w:pPr>
              <w:pStyle w:val="Default"/>
            </w:pPr>
            <w:r w:rsidRPr="00A353DD">
              <w:rPr>
                <w:rFonts w:eastAsia="Calibri"/>
              </w:rPr>
              <w:t> </w:t>
            </w:r>
            <w:r w:rsidR="004C354D" w:rsidRPr="00A353DD">
              <w:t xml:space="preserve"> </w:t>
            </w:r>
          </w:p>
          <w:p w:rsidR="008B3ACA" w:rsidRPr="006318C8" w:rsidRDefault="008B3ACA" w:rsidP="006318C8">
            <w:pPr>
              <w:spacing w:after="200"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875FF4"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FE322F" w:rsidRPr="005821C8" w:rsidRDefault="00FE322F"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FE322F" w:rsidP="00DA7328">
            <w:pPr>
              <w:pStyle w:val="Heading4"/>
              <w:outlineLvl w:val="3"/>
              <w:rPr>
                <w:rFonts w:ascii="Tahoma" w:hAnsi="Tahoma" w:cs="Tahoma"/>
                <w:sz w:val="24"/>
                <w:szCs w:val="24"/>
              </w:rPr>
            </w:pPr>
            <w:r>
              <w:rPr>
                <w:rFonts w:ascii="Tahoma" w:hAnsi="Tahoma" w:cs="Tahoma"/>
                <w:sz w:val="24"/>
                <w:szCs w:val="24"/>
              </w:rPr>
              <w:t xml:space="preserve">Art Education; B.S.Ed. </w:t>
            </w:r>
            <w:r w:rsidR="00A353DD">
              <w:rPr>
                <w:rFonts w:ascii="Tahoma" w:hAnsi="Tahoma" w:cs="Tahoma"/>
                <w:sz w:val="24"/>
                <w:szCs w:val="24"/>
              </w:rPr>
              <w:t xml:space="preserve"> </w:t>
            </w:r>
            <w:r w:rsidR="004C354D">
              <w:rPr>
                <w:rFonts w:ascii="Tahoma" w:hAnsi="Tahoma" w:cs="Tahoma"/>
                <w:sz w:val="24"/>
                <w:szCs w:val="24"/>
              </w:rPr>
              <w:t xml:space="preserve"> </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2139DA" w:rsidRPr="002139DA" w:rsidRDefault="002139DA" w:rsidP="002139DA">
            <w:pPr>
              <w:rPr>
                <w:rFonts w:ascii="Tahoma" w:hAnsi="Tahoma" w:cs="Tahoma"/>
                <w:sz w:val="24"/>
                <w:szCs w:val="24"/>
              </w:rPr>
            </w:pPr>
            <w:r w:rsidRPr="002139DA">
              <w:rPr>
                <w:rFonts w:ascii="Tahoma" w:hAnsi="Tahoma" w:cs="Tahoma"/>
                <w:sz w:val="24"/>
                <w:szCs w:val="24"/>
              </w:rPr>
              <w:t>In addition to University Requirements:</w:t>
            </w:r>
          </w:p>
          <w:p w:rsidR="002139DA" w:rsidRPr="002139DA" w:rsidRDefault="002139DA" w:rsidP="002139DA">
            <w:pPr>
              <w:rPr>
                <w:rFonts w:ascii="Tahoma" w:hAnsi="Tahoma" w:cs="Tahoma"/>
                <w:sz w:val="24"/>
                <w:szCs w:val="24"/>
              </w:rPr>
            </w:pPr>
          </w:p>
          <w:p w:rsidR="002139DA" w:rsidRPr="002139DA" w:rsidRDefault="002139DA" w:rsidP="002139DA">
            <w:pPr>
              <w:pStyle w:val="ListParagraph"/>
              <w:numPr>
                <w:ilvl w:val="0"/>
                <w:numId w:val="25"/>
              </w:numPr>
              <w:rPr>
                <w:rFonts w:ascii="Tahoma" w:hAnsi="Tahoma" w:cs="Tahoma"/>
                <w:sz w:val="24"/>
                <w:szCs w:val="24"/>
              </w:rPr>
            </w:pPr>
            <w:r w:rsidRPr="002139DA">
              <w:rPr>
                <w:rFonts w:ascii="Tahoma" w:hAnsi="Tahoma" w:cs="Tahoma"/>
                <w:sz w:val="24"/>
                <w:szCs w:val="24"/>
              </w:rPr>
              <w:t>At least 82 units of major requirements</w:t>
            </w:r>
          </w:p>
          <w:p w:rsidR="002139DA" w:rsidRPr="002139DA" w:rsidRDefault="002139DA" w:rsidP="002139DA">
            <w:pPr>
              <w:pStyle w:val="ListParagraph"/>
              <w:numPr>
                <w:ilvl w:val="0"/>
                <w:numId w:val="25"/>
              </w:numPr>
              <w:rPr>
                <w:rFonts w:ascii="Tahoma" w:hAnsi="Tahoma" w:cs="Tahoma"/>
                <w:sz w:val="24"/>
                <w:szCs w:val="24"/>
              </w:rPr>
            </w:pPr>
            <w:r w:rsidRPr="002139DA">
              <w:rPr>
                <w:rFonts w:ascii="Tahoma" w:hAnsi="Tahoma" w:cs="Tahoma"/>
                <w:sz w:val="24"/>
                <w:szCs w:val="24"/>
              </w:rPr>
              <w:t>Be aware that you may not use courses with an ARE or ART prefix to satisfy liberal studies requirements</w:t>
            </w:r>
          </w:p>
          <w:p w:rsidR="002139DA" w:rsidRPr="002139DA" w:rsidRDefault="002139DA" w:rsidP="002139DA">
            <w:pPr>
              <w:pStyle w:val="ListParagraph"/>
              <w:numPr>
                <w:ilvl w:val="0"/>
                <w:numId w:val="25"/>
              </w:numPr>
              <w:rPr>
                <w:rFonts w:ascii="Tahoma" w:hAnsi="Tahoma" w:cs="Tahoma"/>
                <w:sz w:val="24"/>
                <w:szCs w:val="24"/>
              </w:rPr>
            </w:pPr>
            <w:r w:rsidRPr="002139DA">
              <w:rPr>
                <w:rFonts w:ascii="Tahoma" w:hAnsi="Tahoma" w:cs="Tahoma"/>
                <w:sz w:val="24"/>
                <w:szCs w:val="24"/>
              </w:rPr>
              <w:t>Elective courses, if needed, to reach an overall total of at least 120 units</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sz w:val="24"/>
                <w:szCs w:val="24"/>
              </w:rPr>
            </w:pPr>
            <w:r w:rsidRPr="002139DA">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2139DA" w:rsidRPr="002139DA" w:rsidRDefault="002139DA" w:rsidP="002139DA">
            <w:pPr>
              <w:rPr>
                <w:rFonts w:ascii="Tahoma" w:hAnsi="Tahoma" w:cs="Tahoma"/>
                <w:sz w:val="24"/>
                <w:szCs w:val="24"/>
              </w:rPr>
            </w:pPr>
          </w:p>
          <w:p w:rsidR="002139DA" w:rsidRPr="002139DA" w:rsidRDefault="002139DA" w:rsidP="002139DA">
            <w:pPr>
              <w:pStyle w:val="ListParagraph"/>
              <w:numPr>
                <w:ilvl w:val="0"/>
                <w:numId w:val="26"/>
              </w:numPr>
              <w:rPr>
                <w:rFonts w:ascii="Tahoma" w:hAnsi="Tahoma" w:cs="Tahoma"/>
                <w:sz w:val="24"/>
                <w:szCs w:val="24"/>
              </w:rPr>
            </w:pPr>
            <w:r w:rsidRPr="002139DA">
              <w:rPr>
                <w:rFonts w:ascii="Tahoma" w:hAnsi="Tahoma" w:cs="Tahoma"/>
                <w:sz w:val="24"/>
                <w:szCs w:val="24"/>
              </w:rPr>
              <w:t>ARE 200, ARE 308, ARE 330W, ARE 331, ARE 421, ARE 431, ARE 432, ARE 495C</w:t>
            </w:r>
          </w:p>
          <w:p w:rsidR="002139DA" w:rsidRPr="002139DA" w:rsidRDefault="002139DA" w:rsidP="002139DA">
            <w:pPr>
              <w:pStyle w:val="ListParagraph"/>
              <w:numPr>
                <w:ilvl w:val="0"/>
                <w:numId w:val="26"/>
              </w:numPr>
              <w:rPr>
                <w:rFonts w:ascii="Tahoma" w:hAnsi="Tahoma" w:cs="Tahoma"/>
                <w:sz w:val="24"/>
                <w:szCs w:val="24"/>
              </w:rPr>
            </w:pPr>
            <w:r w:rsidRPr="002139DA">
              <w:rPr>
                <w:rFonts w:ascii="Tahoma" w:hAnsi="Tahoma" w:cs="Tahoma"/>
                <w:sz w:val="24"/>
                <w:szCs w:val="24"/>
              </w:rPr>
              <w:t>BME 437</w:t>
            </w:r>
          </w:p>
          <w:p w:rsidR="002139DA" w:rsidRPr="002139DA" w:rsidRDefault="002139DA" w:rsidP="002139DA">
            <w:pPr>
              <w:pStyle w:val="ListParagraph"/>
              <w:numPr>
                <w:ilvl w:val="0"/>
                <w:numId w:val="26"/>
              </w:numPr>
              <w:rPr>
                <w:rFonts w:ascii="Tahoma" w:hAnsi="Tahoma" w:cs="Tahoma"/>
                <w:sz w:val="24"/>
                <w:szCs w:val="24"/>
              </w:rPr>
            </w:pPr>
            <w:r w:rsidRPr="002139DA">
              <w:rPr>
                <w:rFonts w:ascii="Tahoma" w:hAnsi="Tahoma" w:cs="Tahoma"/>
                <w:sz w:val="24"/>
                <w:szCs w:val="24"/>
              </w:rPr>
              <w:t>EDF 200</w:t>
            </w:r>
          </w:p>
          <w:p w:rsidR="002139DA" w:rsidRPr="002139DA" w:rsidRDefault="002139DA" w:rsidP="002139DA">
            <w:pPr>
              <w:rPr>
                <w:rFonts w:ascii="Tahoma" w:hAnsi="Tahoma" w:cs="Tahoma"/>
                <w:sz w:val="24"/>
                <w:szCs w:val="24"/>
              </w:rPr>
            </w:pPr>
          </w:p>
          <w:p w:rsidR="00285116" w:rsidRDefault="002139DA" w:rsidP="002139DA">
            <w:pPr>
              <w:rPr>
                <w:rFonts w:ascii="Tahoma" w:hAnsi="Tahoma" w:cs="Tahoma"/>
                <w:sz w:val="24"/>
                <w:szCs w:val="24"/>
              </w:rPr>
            </w:pPr>
            <w:r w:rsidRPr="002139DA">
              <w:rPr>
                <w:rFonts w:ascii="Tahoma" w:hAnsi="Tahoma" w:cs="Tahoma"/>
                <w:sz w:val="24"/>
                <w:szCs w:val="24"/>
              </w:rPr>
              <w:t>Please note that you may be able to use some courses to meet more than one requirement. Contact your advisor for details.</w:t>
            </w:r>
          </w:p>
          <w:p w:rsidR="002139DA" w:rsidRDefault="002139DA" w:rsidP="002139DA">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428"/>
            </w:tblGrid>
            <w:tr w:rsidR="002139DA" w:rsidTr="002139DA">
              <w:trPr>
                <w:tblHeader/>
                <w:tblCellSpacing w:w="15" w:type="dxa"/>
              </w:trPr>
              <w:tc>
                <w:tcPr>
                  <w:tcW w:w="2650" w:type="dxa"/>
                  <w:vAlign w:val="center"/>
                  <w:hideMark/>
                </w:tcPr>
                <w:p w:rsidR="002139DA" w:rsidRDefault="002139DA">
                  <w:pPr>
                    <w:rPr>
                      <w:sz w:val="24"/>
                      <w:szCs w:val="24"/>
                    </w:rPr>
                  </w:pPr>
                  <w:r>
                    <w:t>Minimum Units for Completion</w:t>
                  </w:r>
                </w:p>
              </w:tc>
              <w:tc>
                <w:tcPr>
                  <w:tcW w:w="3383" w:type="dxa"/>
                  <w:vAlign w:val="center"/>
                  <w:hideMark/>
                </w:tcPr>
                <w:p w:rsidR="002139DA" w:rsidRDefault="002139DA">
                  <w:pPr>
                    <w:rPr>
                      <w:sz w:val="24"/>
                      <w:szCs w:val="24"/>
                    </w:rPr>
                  </w:pPr>
                  <w:r>
                    <w:t>120</w:t>
                  </w:r>
                </w:p>
              </w:tc>
            </w:tr>
            <w:tr w:rsidR="002139DA" w:rsidTr="002139DA">
              <w:trPr>
                <w:tblCellSpacing w:w="15" w:type="dxa"/>
              </w:trPr>
              <w:tc>
                <w:tcPr>
                  <w:tcW w:w="2650" w:type="dxa"/>
                  <w:vAlign w:val="center"/>
                  <w:hideMark/>
                </w:tcPr>
                <w:p w:rsidR="002139DA" w:rsidRDefault="002139DA">
                  <w:pPr>
                    <w:rPr>
                      <w:sz w:val="24"/>
                      <w:szCs w:val="24"/>
                    </w:rPr>
                  </w:pPr>
                  <w:r>
                    <w:t>GPA</w:t>
                  </w:r>
                </w:p>
              </w:tc>
              <w:tc>
                <w:tcPr>
                  <w:tcW w:w="3383" w:type="dxa"/>
                  <w:vAlign w:val="center"/>
                  <w:hideMark/>
                </w:tcPr>
                <w:p w:rsidR="002139DA" w:rsidRDefault="002139DA">
                  <w:pPr>
                    <w:rPr>
                      <w:sz w:val="24"/>
                      <w:szCs w:val="24"/>
                    </w:rPr>
                  </w:pPr>
                  <w:r>
                    <w:t>2.5</w:t>
                  </w:r>
                </w:p>
              </w:tc>
            </w:tr>
            <w:tr w:rsidR="002139DA" w:rsidTr="002139DA">
              <w:trPr>
                <w:tblCellSpacing w:w="15" w:type="dxa"/>
              </w:trPr>
              <w:tc>
                <w:tcPr>
                  <w:tcW w:w="2650" w:type="dxa"/>
                  <w:vAlign w:val="center"/>
                  <w:hideMark/>
                </w:tcPr>
                <w:p w:rsidR="002139DA" w:rsidRDefault="002139DA">
                  <w:pPr>
                    <w:rPr>
                      <w:sz w:val="24"/>
                      <w:szCs w:val="24"/>
                    </w:rPr>
                  </w:pPr>
                  <w:r>
                    <w:t>Additional Admission Requirements</w:t>
                  </w:r>
                </w:p>
              </w:tc>
              <w:tc>
                <w:tcPr>
                  <w:tcW w:w="3383" w:type="dxa"/>
                  <w:vAlign w:val="center"/>
                  <w:hideMark/>
                </w:tcPr>
                <w:p w:rsidR="002139DA" w:rsidRDefault="002139DA">
                  <w:pPr>
                    <w:rPr>
                      <w:sz w:val="24"/>
                      <w:szCs w:val="24"/>
                    </w:rPr>
                  </w:pPr>
                  <w:r>
                    <w:t>Required</w:t>
                  </w:r>
                </w:p>
              </w:tc>
            </w:tr>
            <w:tr w:rsidR="002139DA" w:rsidTr="002139DA">
              <w:trPr>
                <w:tblCellSpacing w:w="15" w:type="dxa"/>
              </w:trPr>
              <w:tc>
                <w:tcPr>
                  <w:tcW w:w="2650" w:type="dxa"/>
                  <w:vAlign w:val="center"/>
                  <w:hideMark/>
                </w:tcPr>
                <w:p w:rsidR="002139DA" w:rsidRDefault="002139DA">
                  <w:pPr>
                    <w:rPr>
                      <w:sz w:val="24"/>
                      <w:szCs w:val="24"/>
                    </w:rPr>
                  </w:pPr>
                  <w:r>
                    <w:t>Fieldwork Experience/Internship</w:t>
                  </w:r>
                </w:p>
              </w:tc>
              <w:tc>
                <w:tcPr>
                  <w:tcW w:w="3383" w:type="dxa"/>
                  <w:vAlign w:val="center"/>
                  <w:hideMark/>
                </w:tcPr>
                <w:p w:rsidR="002139DA" w:rsidRDefault="002139DA">
                  <w:pPr>
                    <w:rPr>
                      <w:sz w:val="24"/>
                      <w:szCs w:val="24"/>
                    </w:rPr>
                  </w:pPr>
                  <w:r>
                    <w:t>Required</w:t>
                  </w:r>
                </w:p>
              </w:tc>
            </w:tr>
            <w:tr w:rsidR="002139DA" w:rsidTr="002139DA">
              <w:trPr>
                <w:tblCellSpacing w:w="15" w:type="dxa"/>
              </w:trPr>
              <w:tc>
                <w:tcPr>
                  <w:tcW w:w="2650" w:type="dxa"/>
                  <w:vAlign w:val="center"/>
                  <w:hideMark/>
                </w:tcPr>
                <w:p w:rsidR="002139DA" w:rsidRDefault="002139DA">
                  <w:pPr>
                    <w:rPr>
                      <w:sz w:val="24"/>
                      <w:szCs w:val="24"/>
                    </w:rPr>
                  </w:pPr>
                  <w:r>
                    <w:t>Student Teaching/Supervised Teaching</w:t>
                  </w:r>
                </w:p>
              </w:tc>
              <w:tc>
                <w:tcPr>
                  <w:tcW w:w="3383" w:type="dxa"/>
                  <w:vAlign w:val="center"/>
                  <w:hideMark/>
                </w:tcPr>
                <w:p w:rsidR="002139DA" w:rsidRDefault="002139DA">
                  <w:pPr>
                    <w:rPr>
                      <w:sz w:val="24"/>
                      <w:szCs w:val="24"/>
                    </w:rPr>
                  </w:pPr>
                  <w:r>
                    <w:t>Required</w:t>
                  </w:r>
                </w:p>
              </w:tc>
            </w:tr>
            <w:tr w:rsidR="002139DA" w:rsidTr="002139DA">
              <w:trPr>
                <w:tblCellSpacing w:w="15" w:type="dxa"/>
              </w:trPr>
              <w:tc>
                <w:tcPr>
                  <w:tcW w:w="2650" w:type="dxa"/>
                  <w:vAlign w:val="center"/>
                  <w:hideMark/>
                </w:tcPr>
                <w:p w:rsidR="002139DA" w:rsidRDefault="002139DA">
                  <w:pPr>
                    <w:rPr>
                      <w:sz w:val="24"/>
                      <w:szCs w:val="24"/>
                    </w:rPr>
                  </w:pPr>
                  <w:r>
                    <w:t>University Honors Program</w:t>
                  </w:r>
                </w:p>
              </w:tc>
              <w:tc>
                <w:tcPr>
                  <w:tcW w:w="3383" w:type="dxa"/>
                  <w:vAlign w:val="center"/>
                  <w:hideMark/>
                </w:tcPr>
                <w:p w:rsidR="002139DA" w:rsidRDefault="002139DA">
                  <w:pPr>
                    <w:rPr>
                      <w:sz w:val="24"/>
                      <w:szCs w:val="24"/>
                    </w:rPr>
                  </w:pPr>
                  <w:r>
                    <w:t>Optional</w:t>
                  </w:r>
                </w:p>
              </w:tc>
            </w:tr>
            <w:tr w:rsidR="002139DA" w:rsidTr="002139DA">
              <w:trPr>
                <w:tblCellSpacing w:w="15" w:type="dxa"/>
              </w:trPr>
              <w:tc>
                <w:tcPr>
                  <w:tcW w:w="2650" w:type="dxa"/>
                  <w:vAlign w:val="center"/>
                  <w:hideMark/>
                </w:tcPr>
                <w:p w:rsidR="002139DA" w:rsidRDefault="002139DA">
                  <w:pPr>
                    <w:rPr>
                      <w:sz w:val="24"/>
                      <w:szCs w:val="24"/>
                    </w:rPr>
                  </w:pPr>
                  <w:r>
                    <w:t>Progression Plan</w:t>
                  </w:r>
                </w:p>
              </w:tc>
              <w:tc>
                <w:tcPr>
                  <w:tcW w:w="3383" w:type="dxa"/>
                  <w:vAlign w:val="center"/>
                  <w:hideMark/>
                </w:tcPr>
                <w:p w:rsidR="002139DA" w:rsidRDefault="00875FF4">
                  <w:pPr>
                    <w:rPr>
                      <w:sz w:val="24"/>
                      <w:szCs w:val="24"/>
                    </w:rPr>
                  </w:pPr>
                  <w:hyperlink r:id="rId13" w:anchor="AREDBSEDX" w:tgtFrame="_blank" w:history="1">
                    <w:r w:rsidR="002139DA">
                      <w:rPr>
                        <w:rStyle w:val="Hyperlink"/>
                      </w:rPr>
                      <w:t>View Progression Plan</w:t>
                    </w:r>
                  </w:hyperlink>
                </w:p>
              </w:tc>
            </w:tr>
          </w:tbl>
          <w:p w:rsidR="00A353DD" w:rsidRDefault="00A353DD" w:rsidP="00A353DD">
            <w:pPr>
              <w:rPr>
                <w:rFonts w:ascii="Tahoma" w:hAnsi="Tahoma" w:cs="Tahoma"/>
                <w:sz w:val="24"/>
                <w:szCs w:val="24"/>
              </w:rPr>
            </w:pPr>
          </w:p>
          <w:p w:rsidR="00A353DD" w:rsidRDefault="00A353DD" w:rsidP="00A353DD">
            <w:pPr>
              <w:rPr>
                <w:rFonts w:ascii="Tahoma" w:hAnsi="Tahoma" w:cs="Tahoma"/>
                <w:sz w:val="24"/>
                <w:szCs w:val="24"/>
              </w:rPr>
            </w:pPr>
          </w:p>
          <w:p w:rsidR="002139DA" w:rsidRPr="002139DA" w:rsidRDefault="002139DA" w:rsidP="002139DA">
            <w:pPr>
              <w:rPr>
                <w:rFonts w:ascii="Tahoma" w:hAnsi="Tahoma" w:cs="Tahoma"/>
                <w:i/>
                <w:sz w:val="24"/>
                <w:szCs w:val="24"/>
              </w:rPr>
            </w:pPr>
            <w:r w:rsidRPr="002139DA">
              <w:rPr>
                <w:rFonts w:ascii="Tahoma" w:hAnsi="Tahoma" w:cs="Tahoma"/>
                <w:i/>
                <w:sz w:val="24"/>
                <w:szCs w:val="24"/>
              </w:rPr>
              <w:t>Additional Admission Requirements</w:t>
            </w:r>
          </w:p>
          <w:p w:rsidR="002139DA" w:rsidRPr="002139DA" w:rsidRDefault="002139DA" w:rsidP="002139DA">
            <w:pPr>
              <w:rPr>
                <w:rFonts w:ascii="Tahoma" w:hAnsi="Tahoma" w:cs="Tahoma"/>
                <w:sz w:val="24"/>
                <w:szCs w:val="24"/>
              </w:rPr>
            </w:pPr>
            <w:r w:rsidRPr="002139DA">
              <w:rPr>
                <w:rFonts w:ascii="Tahoma" w:hAnsi="Tahoma" w:cs="Tahoma"/>
                <w:sz w:val="24"/>
                <w:szCs w:val="24"/>
              </w:rPr>
              <w:t>Admission requirements over and above admission to NAU are required.</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sz w:val="24"/>
                <w:szCs w:val="24"/>
              </w:rPr>
            </w:pPr>
            <w:r w:rsidRPr="002139DA">
              <w:rPr>
                <w:rFonts w:ascii="Tahoma" w:hAnsi="Tahoma" w:cs="Tahoma"/>
                <w:sz w:val="24"/>
                <w:szCs w:val="24"/>
              </w:rPr>
              <w:t>To be eligible for admission to the program, candidates must meet the following requirements:</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sz w:val="24"/>
                <w:szCs w:val="24"/>
              </w:rPr>
            </w:pPr>
            <w:r w:rsidRPr="002139DA">
              <w:rPr>
                <w:rFonts w:ascii="Tahoma" w:hAnsi="Tahoma" w:cs="Tahoma"/>
                <w:sz w:val="24"/>
                <w:szCs w:val="24"/>
              </w:rPr>
              <w:t>30 units of coursework which includes:</w:t>
            </w:r>
          </w:p>
          <w:p w:rsidR="002139DA" w:rsidRPr="002139DA" w:rsidRDefault="002139DA" w:rsidP="002139DA">
            <w:pPr>
              <w:pStyle w:val="ListParagraph"/>
              <w:numPr>
                <w:ilvl w:val="0"/>
                <w:numId w:val="30"/>
              </w:numPr>
              <w:rPr>
                <w:rFonts w:ascii="Tahoma" w:hAnsi="Tahoma" w:cs="Tahoma"/>
                <w:sz w:val="24"/>
                <w:szCs w:val="24"/>
              </w:rPr>
            </w:pPr>
            <w:r w:rsidRPr="002139DA">
              <w:rPr>
                <w:rFonts w:ascii="Tahoma" w:hAnsi="Tahoma" w:cs="Tahoma"/>
                <w:sz w:val="24"/>
                <w:szCs w:val="24"/>
              </w:rPr>
              <w:t>EDF 200 with a grade of "C" or better</w:t>
            </w:r>
          </w:p>
          <w:p w:rsidR="002139DA" w:rsidRPr="002139DA" w:rsidRDefault="002139DA" w:rsidP="002139DA">
            <w:pPr>
              <w:pStyle w:val="ListParagraph"/>
              <w:numPr>
                <w:ilvl w:val="0"/>
                <w:numId w:val="30"/>
              </w:numPr>
              <w:rPr>
                <w:rFonts w:ascii="Tahoma" w:hAnsi="Tahoma" w:cs="Tahoma"/>
                <w:sz w:val="24"/>
                <w:szCs w:val="24"/>
              </w:rPr>
            </w:pPr>
            <w:r w:rsidRPr="002139DA">
              <w:rPr>
                <w:rFonts w:ascii="Tahoma" w:hAnsi="Tahoma" w:cs="Tahoma"/>
                <w:sz w:val="24"/>
                <w:szCs w:val="24"/>
              </w:rPr>
              <w:t>MAT 110 or MAT 114 with a grade of "C" or better</w:t>
            </w:r>
          </w:p>
          <w:p w:rsidR="002139DA" w:rsidRPr="002139DA" w:rsidRDefault="002139DA" w:rsidP="002139DA">
            <w:pPr>
              <w:pStyle w:val="ListParagraph"/>
              <w:numPr>
                <w:ilvl w:val="0"/>
                <w:numId w:val="30"/>
              </w:numPr>
              <w:rPr>
                <w:rFonts w:ascii="Tahoma" w:hAnsi="Tahoma" w:cs="Tahoma"/>
                <w:sz w:val="24"/>
                <w:szCs w:val="24"/>
              </w:rPr>
            </w:pPr>
            <w:r w:rsidRPr="002139DA">
              <w:rPr>
                <w:rFonts w:ascii="Tahoma" w:hAnsi="Tahoma" w:cs="Tahoma"/>
                <w:sz w:val="24"/>
                <w:szCs w:val="24"/>
              </w:rPr>
              <w:t>The English foundations requirement (ENG 105 or equivalent) with a minimum GPA of 3.0.  (If your English GPA is below 3.0, you may take an approved writing course to achieve the 3.0 GPA.)</w:t>
            </w:r>
          </w:p>
          <w:p w:rsidR="002139DA" w:rsidRPr="002139DA" w:rsidRDefault="002139DA" w:rsidP="002139DA">
            <w:pPr>
              <w:rPr>
                <w:rFonts w:ascii="Tahoma" w:hAnsi="Tahoma" w:cs="Tahoma"/>
                <w:sz w:val="24"/>
                <w:szCs w:val="24"/>
              </w:rPr>
            </w:pPr>
            <w:r w:rsidRPr="002139DA">
              <w:rPr>
                <w:rFonts w:ascii="Tahoma" w:hAnsi="Tahoma" w:cs="Tahoma"/>
                <w:sz w:val="24"/>
                <w:szCs w:val="24"/>
              </w:rPr>
              <w:t>A minimum GPA of 2.5 in all content major coursework (must have taken at least 3 units) and one of the following:</w:t>
            </w:r>
          </w:p>
          <w:p w:rsidR="002139DA" w:rsidRPr="002139DA" w:rsidRDefault="002139DA" w:rsidP="002139DA">
            <w:pPr>
              <w:pStyle w:val="ListParagraph"/>
              <w:numPr>
                <w:ilvl w:val="0"/>
                <w:numId w:val="30"/>
              </w:numPr>
              <w:rPr>
                <w:rFonts w:ascii="Tahoma" w:hAnsi="Tahoma" w:cs="Tahoma"/>
                <w:sz w:val="24"/>
                <w:szCs w:val="24"/>
              </w:rPr>
            </w:pPr>
            <w:r w:rsidRPr="002139DA">
              <w:rPr>
                <w:rFonts w:ascii="Tahoma" w:hAnsi="Tahoma" w:cs="Tahoma"/>
                <w:sz w:val="24"/>
                <w:szCs w:val="24"/>
              </w:rPr>
              <w:t>A cumulative 2.5 GPA in Liberal Studies courses</w:t>
            </w:r>
          </w:p>
          <w:p w:rsidR="002139DA" w:rsidRPr="002139DA" w:rsidRDefault="002139DA" w:rsidP="002139DA">
            <w:pPr>
              <w:pStyle w:val="ListParagraph"/>
              <w:numPr>
                <w:ilvl w:val="0"/>
                <w:numId w:val="30"/>
              </w:numPr>
              <w:rPr>
                <w:rFonts w:ascii="Tahoma" w:hAnsi="Tahoma" w:cs="Tahoma"/>
                <w:sz w:val="24"/>
                <w:szCs w:val="24"/>
              </w:rPr>
            </w:pPr>
            <w:r w:rsidRPr="002139DA">
              <w:rPr>
                <w:rFonts w:ascii="Tahoma" w:hAnsi="Tahoma" w:cs="Tahoma"/>
                <w:sz w:val="24"/>
                <w:szCs w:val="24"/>
              </w:rPr>
              <w:t>A cumulative 2.5 GPA in all courses</w:t>
            </w:r>
          </w:p>
          <w:p w:rsidR="002139DA" w:rsidRPr="002139DA" w:rsidRDefault="002139DA" w:rsidP="002139DA">
            <w:pPr>
              <w:rPr>
                <w:rFonts w:ascii="Tahoma" w:hAnsi="Tahoma" w:cs="Tahoma"/>
                <w:sz w:val="24"/>
                <w:szCs w:val="24"/>
              </w:rPr>
            </w:pPr>
            <w:r w:rsidRPr="002139DA">
              <w:rPr>
                <w:rFonts w:ascii="Tahoma" w:hAnsi="Tahoma" w:cs="Tahoma"/>
                <w:sz w:val="24"/>
                <w:szCs w:val="24"/>
              </w:rPr>
              <w:t>Additional requirements:</w:t>
            </w:r>
          </w:p>
          <w:p w:rsidR="002139DA" w:rsidRPr="002139DA" w:rsidRDefault="002139DA" w:rsidP="002139DA">
            <w:pPr>
              <w:pStyle w:val="ListParagraph"/>
              <w:numPr>
                <w:ilvl w:val="0"/>
                <w:numId w:val="29"/>
              </w:numPr>
              <w:rPr>
                <w:rFonts w:ascii="Tahoma" w:hAnsi="Tahoma" w:cs="Tahoma"/>
                <w:sz w:val="24"/>
                <w:szCs w:val="24"/>
              </w:rPr>
            </w:pPr>
            <w:r w:rsidRPr="002139DA">
              <w:rPr>
                <w:rFonts w:ascii="Tahoma" w:hAnsi="Tahoma" w:cs="Tahoma"/>
                <w:sz w:val="24"/>
                <w:szCs w:val="24"/>
              </w:rPr>
              <w:t>You must be declared in this major</w:t>
            </w:r>
          </w:p>
          <w:p w:rsidR="002139DA" w:rsidRPr="002139DA" w:rsidRDefault="002139DA" w:rsidP="002139DA">
            <w:pPr>
              <w:pStyle w:val="ListParagraph"/>
              <w:numPr>
                <w:ilvl w:val="0"/>
                <w:numId w:val="29"/>
              </w:numPr>
              <w:rPr>
                <w:rFonts w:ascii="Tahoma" w:hAnsi="Tahoma" w:cs="Tahoma"/>
                <w:sz w:val="24"/>
                <w:szCs w:val="24"/>
              </w:rPr>
            </w:pPr>
            <w:r w:rsidRPr="002139DA">
              <w:rPr>
                <w:rFonts w:ascii="Tahoma" w:hAnsi="Tahoma" w:cs="Tahoma"/>
                <w:sz w:val="24"/>
                <w:szCs w:val="24"/>
              </w:rPr>
              <w:t>Completion of a teacher-education orientation for Secondary Education</w:t>
            </w:r>
          </w:p>
          <w:p w:rsidR="002139DA" w:rsidRPr="002139DA" w:rsidRDefault="002139DA" w:rsidP="002139DA">
            <w:pPr>
              <w:pStyle w:val="ListParagraph"/>
              <w:numPr>
                <w:ilvl w:val="0"/>
                <w:numId w:val="29"/>
              </w:numPr>
              <w:rPr>
                <w:rFonts w:ascii="Tahoma" w:hAnsi="Tahoma" w:cs="Tahoma"/>
                <w:sz w:val="24"/>
                <w:szCs w:val="24"/>
              </w:rPr>
            </w:pPr>
            <w:r w:rsidRPr="002139DA">
              <w:rPr>
                <w:rFonts w:ascii="Tahoma" w:hAnsi="Tahoma" w:cs="Tahoma"/>
                <w:sz w:val="24"/>
                <w:szCs w:val="24"/>
              </w:rPr>
              <w:t>Submission of a copy of your State-approved Identity-Verified Print (IVP) fingerprint clearance card, obtainable through the Arizona Department of Public Safety (602-223-2279)</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i/>
                <w:sz w:val="24"/>
                <w:szCs w:val="24"/>
              </w:rPr>
            </w:pPr>
            <w:r w:rsidRPr="002139DA">
              <w:rPr>
                <w:rFonts w:ascii="Tahoma" w:hAnsi="Tahoma" w:cs="Tahoma"/>
                <w:i/>
                <w:sz w:val="24"/>
                <w:szCs w:val="24"/>
              </w:rPr>
              <w:t>Major Requirements</w:t>
            </w:r>
          </w:p>
          <w:p w:rsidR="002139DA" w:rsidRPr="002139DA" w:rsidRDefault="002139DA" w:rsidP="002139DA">
            <w:pPr>
              <w:rPr>
                <w:rFonts w:ascii="Tahoma" w:hAnsi="Tahoma" w:cs="Tahoma"/>
                <w:sz w:val="24"/>
                <w:szCs w:val="24"/>
              </w:rPr>
            </w:pPr>
            <w:r w:rsidRPr="002139DA">
              <w:rPr>
                <w:rFonts w:ascii="Tahoma" w:hAnsi="Tahoma" w:cs="Tahoma"/>
                <w:sz w:val="24"/>
                <w:szCs w:val="24"/>
              </w:rPr>
              <w:t>To be prepared to teach art in kindergarten through 12th grade, take the following 82 units with a minimum GPA of 2.5:</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ART 135, ART 136, ART 150, ART 151 (12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ARH 141, ARH 142 (6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ARH electives (6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ARE 200, ARE 308, ARE 330W, ARE 331, ARE 421, ARE 431, ARE 432 (19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Studio art courses approved by your art education advisor, with at least 9 units in upper-division studio courses (18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BME 437 (3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lastRenderedPageBreak/>
              <w:t>EDF 200 (3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EPS 325 (3 units)</w:t>
            </w:r>
          </w:p>
          <w:p w:rsidR="002139DA" w:rsidRPr="002139DA" w:rsidRDefault="002139DA" w:rsidP="002139DA">
            <w:pPr>
              <w:pStyle w:val="ListParagraph"/>
              <w:numPr>
                <w:ilvl w:val="0"/>
                <w:numId w:val="28"/>
              </w:numPr>
              <w:rPr>
                <w:rFonts w:ascii="Tahoma" w:hAnsi="Tahoma" w:cs="Tahoma"/>
                <w:sz w:val="24"/>
                <w:szCs w:val="24"/>
              </w:rPr>
            </w:pPr>
            <w:r w:rsidRPr="002139DA">
              <w:rPr>
                <w:rFonts w:ascii="Tahoma" w:hAnsi="Tahoma" w:cs="Tahoma"/>
                <w:sz w:val="24"/>
                <w:szCs w:val="24"/>
              </w:rPr>
              <w:t>ARE 495C (12 units)</w:t>
            </w:r>
          </w:p>
          <w:p w:rsidR="002139DA" w:rsidRPr="002139DA" w:rsidRDefault="002139DA" w:rsidP="002139DA">
            <w:pPr>
              <w:rPr>
                <w:rFonts w:ascii="Tahoma" w:hAnsi="Tahoma" w:cs="Tahoma"/>
                <w:sz w:val="24"/>
                <w:szCs w:val="24"/>
              </w:rPr>
            </w:pPr>
            <w:r w:rsidRPr="002139DA">
              <w:rPr>
                <w:rFonts w:ascii="Tahoma" w:hAnsi="Tahoma" w:cs="Tahoma"/>
                <w:sz w:val="24"/>
                <w:szCs w:val="24"/>
              </w:rPr>
              <w:t>Note that PHO courses, ART 100, ART 101, and ART 300 do not fulfill the requirements of the B.S. Ed Art Education major.</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i/>
                <w:sz w:val="24"/>
                <w:szCs w:val="24"/>
              </w:rPr>
            </w:pPr>
            <w:r w:rsidRPr="002139DA">
              <w:rPr>
                <w:rFonts w:ascii="Tahoma" w:hAnsi="Tahoma" w:cs="Tahoma"/>
                <w:i/>
                <w:sz w:val="24"/>
                <w:szCs w:val="24"/>
              </w:rPr>
              <w:t>Teacher Preparation</w:t>
            </w:r>
          </w:p>
          <w:p w:rsidR="002139DA" w:rsidRPr="002139DA" w:rsidRDefault="002139DA" w:rsidP="002139DA">
            <w:pPr>
              <w:rPr>
                <w:rFonts w:ascii="Tahoma" w:hAnsi="Tahoma" w:cs="Tahoma"/>
                <w:sz w:val="24"/>
                <w:szCs w:val="24"/>
              </w:rPr>
            </w:pPr>
            <w:r w:rsidRPr="002139DA">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2139DA">
              <w:rPr>
                <w:rFonts w:ascii="Tahoma" w:hAnsi="Tahoma" w:cs="Tahoma"/>
                <w:sz w:val="24"/>
                <w:szCs w:val="24"/>
              </w:rPr>
              <w:t>is</w:t>
            </w:r>
            <w:proofErr w:type="gramEnd"/>
            <w:r w:rsidRPr="002139DA">
              <w:rPr>
                <w:rFonts w:ascii="Tahoma" w:hAnsi="Tahoma" w:cs="Tahoma"/>
                <w:sz w:val="24"/>
                <w:szCs w:val="24"/>
              </w:rPr>
              <w:t xml:space="preserve"> required, which involves supervised field experience with a practicing teacher. </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sz w:val="24"/>
                <w:szCs w:val="24"/>
              </w:rPr>
            </w:pPr>
            <w:r w:rsidRPr="002139DA">
              <w:rPr>
                <w:rFonts w:ascii="Tahoma" w:hAnsi="Tahoma" w:cs="Tahoma"/>
                <w:sz w:val="24"/>
                <w:szCs w:val="24"/>
              </w:rPr>
              <w:t>Before being accepted to student teaching, the following criteria must be met:</w:t>
            </w:r>
          </w:p>
          <w:p w:rsidR="002139DA" w:rsidRPr="002139DA" w:rsidRDefault="002139DA" w:rsidP="002139DA">
            <w:pPr>
              <w:pStyle w:val="ListParagraph"/>
              <w:numPr>
                <w:ilvl w:val="0"/>
                <w:numId w:val="27"/>
              </w:numPr>
              <w:rPr>
                <w:rFonts w:ascii="Tahoma" w:hAnsi="Tahoma" w:cs="Tahoma"/>
                <w:sz w:val="24"/>
                <w:szCs w:val="24"/>
              </w:rPr>
            </w:pPr>
            <w:r w:rsidRPr="002139DA">
              <w:rPr>
                <w:rFonts w:ascii="Tahoma" w:hAnsi="Tahoma" w:cs="Tahoma"/>
                <w:sz w:val="24"/>
                <w:szCs w:val="24"/>
              </w:rPr>
              <w:t>Admission to the teacher education program</w:t>
            </w:r>
          </w:p>
          <w:p w:rsidR="002139DA" w:rsidRPr="002139DA" w:rsidRDefault="002139DA" w:rsidP="002139DA">
            <w:pPr>
              <w:pStyle w:val="ListParagraph"/>
              <w:numPr>
                <w:ilvl w:val="0"/>
                <w:numId w:val="27"/>
              </w:numPr>
              <w:rPr>
                <w:rFonts w:ascii="Tahoma" w:hAnsi="Tahoma" w:cs="Tahoma"/>
                <w:sz w:val="24"/>
                <w:szCs w:val="24"/>
              </w:rPr>
            </w:pPr>
            <w:r w:rsidRPr="002139DA">
              <w:rPr>
                <w:rFonts w:ascii="Tahoma" w:hAnsi="Tahoma" w:cs="Tahoma"/>
                <w:sz w:val="24"/>
                <w:szCs w:val="24"/>
              </w:rPr>
              <w:t>NAU GPA must be at least 2.5, with a GPA of 2.5 in all teacher preparation courses, with no grade lower than a "C".</w:t>
            </w:r>
          </w:p>
          <w:p w:rsidR="002139DA" w:rsidRPr="002139DA" w:rsidRDefault="002139DA" w:rsidP="002139DA">
            <w:pPr>
              <w:pStyle w:val="ListParagraph"/>
              <w:numPr>
                <w:ilvl w:val="0"/>
                <w:numId w:val="27"/>
              </w:numPr>
              <w:rPr>
                <w:rFonts w:ascii="Tahoma" w:hAnsi="Tahoma" w:cs="Tahoma"/>
                <w:sz w:val="24"/>
                <w:szCs w:val="24"/>
              </w:rPr>
            </w:pPr>
            <w:r w:rsidRPr="002139DA">
              <w:rPr>
                <w:rFonts w:ascii="Tahoma" w:hAnsi="Tahoma" w:cs="Tahoma"/>
                <w:sz w:val="24"/>
                <w:szCs w:val="24"/>
              </w:rPr>
              <w:t>Complete all plan requirements.</w:t>
            </w:r>
          </w:p>
          <w:p w:rsidR="002139DA" w:rsidRPr="002139DA" w:rsidRDefault="002139DA" w:rsidP="002139DA">
            <w:pPr>
              <w:pStyle w:val="ListParagraph"/>
              <w:numPr>
                <w:ilvl w:val="0"/>
                <w:numId w:val="27"/>
              </w:numPr>
              <w:rPr>
                <w:rFonts w:ascii="Tahoma" w:hAnsi="Tahoma" w:cs="Tahoma"/>
                <w:sz w:val="24"/>
                <w:szCs w:val="24"/>
              </w:rPr>
            </w:pPr>
            <w:r w:rsidRPr="002139DA">
              <w:rPr>
                <w:rFonts w:ascii="Tahoma" w:hAnsi="Tahoma" w:cs="Tahoma"/>
                <w:sz w:val="24"/>
                <w:szCs w:val="24"/>
              </w:rPr>
              <w:t>All ARE coursework must be completed within the six years prior to student teaching.</w:t>
            </w:r>
          </w:p>
          <w:p w:rsidR="002139DA" w:rsidRPr="002139DA" w:rsidRDefault="002139DA" w:rsidP="002139DA">
            <w:pPr>
              <w:pStyle w:val="ListParagraph"/>
              <w:numPr>
                <w:ilvl w:val="0"/>
                <w:numId w:val="27"/>
              </w:numPr>
              <w:rPr>
                <w:rFonts w:ascii="Tahoma" w:hAnsi="Tahoma" w:cs="Tahoma"/>
                <w:sz w:val="24"/>
                <w:szCs w:val="24"/>
              </w:rPr>
            </w:pPr>
            <w:r w:rsidRPr="002139DA">
              <w:rPr>
                <w:rFonts w:ascii="Tahoma" w:hAnsi="Tahoma" w:cs="Tahoma"/>
                <w:sz w:val="24"/>
                <w:szCs w:val="24"/>
              </w:rPr>
              <w:t>All candidates must demonstrate social and emotional maturity consistent with professional standards of classroom instruction as well as adequate physical health for teaching.</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i/>
                <w:sz w:val="24"/>
                <w:szCs w:val="24"/>
              </w:rPr>
            </w:pPr>
            <w:r w:rsidRPr="002139DA">
              <w:rPr>
                <w:rFonts w:ascii="Tahoma" w:hAnsi="Tahoma" w:cs="Tahoma"/>
                <w:i/>
                <w:sz w:val="24"/>
                <w:szCs w:val="24"/>
              </w:rPr>
              <w:t>Arizona Teacher Certification</w:t>
            </w:r>
          </w:p>
          <w:p w:rsidR="002139DA" w:rsidRPr="002139DA" w:rsidRDefault="002139DA" w:rsidP="002139DA">
            <w:pPr>
              <w:rPr>
                <w:rFonts w:ascii="Tahoma" w:hAnsi="Tahoma" w:cs="Tahoma"/>
                <w:sz w:val="24"/>
                <w:szCs w:val="24"/>
              </w:rPr>
            </w:pPr>
            <w:r w:rsidRPr="002139DA">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i/>
                <w:sz w:val="24"/>
                <w:szCs w:val="24"/>
              </w:rPr>
            </w:pPr>
            <w:r w:rsidRPr="002139DA">
              <w:rPr>
                <w:rFonts w:ascii="Tahoma" w:hAnsi="Tahoma" w:cs="Tahoma"/>
                <w:i/>
                <w:sz w:val="24"/>
                <w:szCs w:val="24"/>
              </w:rPr>
              <w:t>General Electives</w:t>
            </w:r>
          </w:p>
          <w:p w:rsidR="002139DA" w:rsidRPr="002139DA" w:rsidRDefault="002139DA" w:rsidP="002139DA">
            <w:pPr>
              <w:rPr>
                <w:rFonts w:ascii="Tahoma" w:hAnsi="Tahoma" w:cs="Tahoma"/>
                <w:sz w:val="24"/>
                <w:szCs w:val="24"/>
              </w:rPr>
            </w:pPr>
            <w:r w:rsidRPr="002139DA">
              <w:rPr>
                <w:rFonts w:ascii="Tahoma" w:hAnsi="Tahoma" w:cs="Tahoma"/>
                <w:sz w:val="24"/>
                <w:szCs w:val="24"/>
              </w:rPr>
              <w:t xml:space="preserve">Additional coursework is required, if, after you have met the previously described requirements, you have not yet completed a total of 120 units of credit.  </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sz w:val="24"/>
                <w:szCs w:val="24"/>
              </w:rPr>
            </w:pPr>
            <w:r w:rsidRPr="002139DA">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w:t>
            </w:r>
            <w:r w:rsidRPr="002139DA">
              <w:rPr>
                <w:rFonts w:ascii="Tahoma" w:hAnsi="Tahoma" w:cs="Tahoma"/>
                <w:sz w:val="24"/>
                <w:szCs w:val="24"/>
              </w:rPr>
              <w:lastRenderedPageBreak/>
              <w:t>(Please note that you may also use prerequisites or transfer credits as electives if they weren't used to meet major, minor, or liberal studies requirements.)</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sz w:val="24"/>
                <w:szCs w:val="24"/>
              </w:rPr>
            </w:pPr>
            <w:r w:rsidRPr="002139DA">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2139DA" w:rsidRPr="002139DA" w:rsidRDefault="002139DA" w:rsidP="002139DA">
            <w:pPr>
              <w:rPr>
                <w:rFonts w:ascii="Tahoma" w:hAnsi="Tahoma" w:cs="Tahoma"/>
                <w:sz w:val="24"/>
                <w:szCs w:val="24"/>
              </w:rPr>
            </w:pPr>
          </w:p>
          <w:p w:rsidR="002139DA" w:rsidRPr="002139DA" w:rsidRDefault="002139DA" w:rsidP="002139DA">
            <w:pPr>
              <w:rPr>
                <w:rFonts w:ascii="Tahoma" w:hAnsi="Tahoma" w:cs="Tahoma"/>
                <w:i/>
                <w:sz w:val="24"/>
                <w:szCs w:val="24"/>
              </w:rPr>
            </w:pPr>
            <w:r w:rsidRPr="002139DA">
              <w:rPr>
                <w:rFonts w:ascii="Tahoma" w:hAnsi="Tahoma" w:cs="Tahoma"/>
                <w:i/>
                <w:sz w:val="24"/>
                <w:szCs w:val="24"/>
              </w:rPr>
              <w:t>Additional Information</w:t>
            </w:r>
          </w:p>
          <w:p w:rsidR="002139DA" w:rsidRPr="002139DA" w:rsidRDefault="002139DA" w:rsidP="002139DA">
            <w:pPr>
              <w:rPr>
                <w:rFonts w:ascii="Tahoma" w:hAnsi="Tahoma" w:cs="Tahoma"/>
                <w:sz w:val="24"/>
                <w:szCs w:val="24"/>
              </w:rPr>
            </w:pPr>
            <w:r w:rsidRPr="002139DA">
              <w:rPr>
                <w:rFonts w:ascii="Tahoma" w:hAnsi="Tahoma" w:cs="Tahoma"/>
                <w:sz w:val="24"/>
                <w:szCs w:val="24"/>
              </w:rPr>
              <w:t>You must have completed all of the coursework used to fulfill these requirements within the last 10 years.</w:t>
            </w:r>
          </w:p>
          <w:p w:rsidR="002139DA" w:rsidRPr="002139DA" w:rsidRDefault="002139DA" w:rsidP="002139DA">
            <w:pPr>
              <w:rPr>
                <w:rFonts w:ascii="Tahoma" w:hAnsi="Tahoma" w:cs="Tahoma"/>
                <w:sz w:val="24"/>
                <w:szCs w:val="24"/>
              </w:rPr>
            </w:pPr>
          </w:p>
          <w:p w:rsidR="00A45E05" w:rsidRPr="00A353DD" w:rsidRDefault="002139DA" w:rsidP="002139DA">
            <w:pPr>
              <w:rPr>
                <w:rFonts w:ascii="Arial" w:hAnsi="Arial" w:cs="Arial"/>
                <w:sz w:val="24"/>
                <w:szCs w:val="24"/>
              </w:rPr>
            </w:pPr>
            <w:r w:rsidRPr="002139DA">
              <w:rPr>
                <w:rFonts w:ascii="Tahoma" w:hAnsi="Tahoma" w:cs="Tahoma"/>
                <w:sz w:val="24"/>
                <w:szCs w:val="24"/>
              </w:rPr>
              <w:t>Be aware that some courses may have prerequisites that you must also take. For prerequisite information click on the course or see your advisor.</w:t>
            </w:r>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FE322F" w:rsidRPr="00DA7328" w:rsidRDefault="00FE322F" w:rsidP="00FE322F">
            <w:pPr>
              <w:pStyle w:val="Heading4"/>
              <w:outlineLvl w:val="3"/>
              <w:rPr>
                <w:rFonts w:ascii="Tahoma" w:hAnsi="Tahoma" w:cs="Tahoma"/>
                <w:sz w:val="24"/>
                <w:szCs w:val="24"/>
              </w:rPr>
            </w:pPr>
            <w:r>
              <w:rPr>
                <w:rFonts w:ascii="Tahoma" w:hAnsi="Tahoma" w:cs="Tahoma"/>
                <w:sz w:val="24"/>
                <w:szCs w:val="24"/>
              </w:rPr>
              <w:t xml:space="preserve">Art Education; B.S.Ed.    </w:t>
            </w:r>
          </w:p>
          <w:p w:rsidR="00FE322F" w:rsidRDefault="00FE322F" w:rsidP="00FE322F">
            <w:pPr>
              <w:rPr>
                <w:rFonts w:ascii="Tahoma" w:hAnsi="Tahoma" w:cs="Tahoma"/>
                <w:sz w:val="24"/>
                <w:szCs w:val="24"/>
              </w:rPr>
            </w:pPr>
          </w:p>
          <w:p w:rsidR="00FE322F" w:rsidRPr="002139DA" w:rsidRDefault="00FE322F" w:rsidP="00FE322F">
            <w:pPr>
              <w:rPr>
                <w:rFonts w:ascii="Tahoma" w:hAnsi="Tahoma" w:cs="Tahoma"/>
                <w:sz w:val="24"/>
                <w:szCs w:val="24"/>
              </w:rPr>
            </w:pPr>
            <w:r w:rsidRPr="002139DA">
              <w:rPr>
                <w:rFonts w:ascii="Tahoma" w:hAnsi="Tahoma" w:cs="Tahoma"/>
                <w:sz w:val="24"/>
                <w:szCs w:val="24"/>
              </w:rPr>
              <w:t>In addition to University Requirements:</w:t>
            </w:r>
          </w:p>
          <w:p w:rsidR="00FE322F" w:rsidRPr="002139DA" w:rsidRDefault="00FE322F" w:rsidP="00FE322F">
            <w:pPr>
              <w:rPr>
                <w:rFonts w:ascii="Tahoma" w:hAnsi="Tahoma" w:cs="Tahoma"/>
                <w:sz w:val="24"/>
                <w:szCs w:val="24"/>
              </w:rPr>
            </w:pPr>
          </w:p>
          <w:p w:rsidR="00FE322F" w:rsidRPr="002139DA" w:rsidRDefault="00FE322F" w:rsidP="00FE322F">
            <w:pPr>
              <w:pStyle w:val="ListParagraph"/>
              <w:numPr>
                <w:ilvl w:val="0"/>
                <w:numId w:val="25"/>
              </w:numPr>
              <w:rPr>
                <w:rFonts w:ascii="Tahoma" w:hAnsi="Tahoma" w:cs="Tahoma"/>
                <w:sz w:val="24"/>
                <w:szCs w:val="24"/>
              </w:rPr>
            </w:pPr>
            <w:r w:rsidRPr="002139DA">
              <w:rPr>
                <w:rFonts w:ascii="Tahoma" w:hAnsi="Tahoma" w:cs="Tahoma"/>
                <w:sz w:val="24"/>
                <w:szCs w:val="24"/>
              </w:rPr>
              <w:t>At least 82 units of major requirements</w:t>
            </w:r>
          </w:p>
          <w:p w:rsidR="00FE322F" w:rsidRPr="002139DA" w:rsidRDefault="00FE322F" w:rsidP="00FE322F">
            <w:pPr>
              <w:pStyle w:val="ListParagraph"/>
              <w:numPr>
                <w:ilvl w:val="0"/>
                <w:numId w:val="25"/>
              </w:numPr>
              <w:rPr>
                <w:rFonts w:ascii="Tahoma" w:hAnsi="Tahoma" w:cs="Tahoma"/>
                <w:sz w:val="24"/>
                <w:szCs w:val="24"/>
              </w:rPr>
            </w:pPr>
            <w:r w:rsidRPr="002139DA">
              <w:rPr>
                <w:rFonts w:ascii="Tahoma" w:hAnsi="Tahoma" w:cs="Tahoma"/>
                <w:sz w:val="24"/>
                <w:szCs w:val="24"/>
              </w:rPr>
              <w:t>Be aware that you may not use courses with an ARE or ART prefix to satisfy liberal studies requirements</w:t>
            </w:r>
          </w:p>
          <w:p w:rsidR="00FE322F" w:rsidRPr="002139DA" w:rsidRDefault="00FE322F" w:rsidP="00FE322F">
            <w:pPr>
              <w:pStyle w:val="ListParagraph"/>
              <w:numPr>
                <w:ilvl w:val="0"/>
                <w:numId w:val="25"/>
              </w:numPr>
              <w:rPr>
                <w:rFonts w:ascii="Tahoma" w:hAnsi="Tahoma" w:cs="Tahoma"/>
                <w:sz w:val="24"/>
                <w:szCs w:val="24"/>
              </w:rPr>
            </w:pPr>
            <w:r w:rsidRPr="002139DA">
              <w:rPr>
                <w:rFonts w:ascii="Tahoma" w:hAnsi="Tahoma" w:cs="Tahoma"/>
                <w:sz w:val="24"/>
                <w:szCs w:val="24"/>
              </w:rPr>
              <w:t>Elective courses, if needed, to reach an overall total of at least 120 units</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sz w:val="24"/>
                <w:szCs w:val="24"/>
              </w:rPr>
            </w:pPr>
            <w:r w:rsidRPr="002139DA">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FE322F" w:rsidRPr="002139DA" w:rsidRDefault="00FE322F" w:rsidP="00FE322F">
            <w:pPr>
              <w:rPr>
                <w:rFonts w:ascii="Tahoma" w:hAnsi="Tahoma" w:cs="Tahoma"/>
                <w:sz w:val="24"/>
                <w:szCs w:val="24"/>
              </w:rPr>
            </w:pPr>
          </w:p>
          <w:p w:rsidR="00FE322F" w:rsidRPr="002139DA" w:rsidRDefault="00FE322F" w:rsidP="00FE322F">
            <w:pPr>
              <w:pStyle w:val="ListParagraph"/>
              <w:numPr>
                <w:ilvl w:val="0"/>
                <w:numId w:val="26"/>
              </w:numPr>
              <w:rPr>
                <w:rFonts w:ascii="Tahoma" w:hAnsi="Tahoma" w:cs="Tahoma"/>
                <w:sz w:val="24"/>
                <w:szCs w:val="24"/>
              </w:rPr>
            </w:pPr>
            <w:r w:rsidRPr="002139DA">
              <w:rPr>
                <w:rFonts w:ascii="Tahoma" w:hAnsi="Tahoma" w:cs="Tahoma"/>
                <w:sz w:val="24"/>
                <w:szCs w:val="24"/>
              </w:rPr>
              <w:t>ARE 200, ARE 308, ARE 330W, ARE 331, ARE 421, ARE 431, ARE 432, ARE 495C</w:t>
            </w:r>
          </w:p>
          <w:p w:rsidR="00FE322F" w:rsidRPr="002139DA" w:rsidRDefault="00FE322F" w:rsidP="00FE322F">
            <w:pPr>
              <w:pStyle w:val="ListParagraph"/>
              <w:numPr>
                <w:ilvl w:val="0"/>
                <w:numId w:val="26"/>
              </w:numPr>
              <w:rPr>
                <w:rFonts w:ascii="Tahoma" w:hAnsi="Tahoma" w:cs="Tahoma"/>
                <w:sz w:val="24"/>
                <w:szCs w:val="24"/>
              </w:rPr>
            </w:pPr>
            <w:r w:rsidRPr="002139DA">
              <w:rPr>
                <w:rFonts w:ascii="Tahoma" w:hAnsi="Tahoma" w:cs="Tahoma"/>
                <w:sz w:val="24"/>
                <w:szCs w:val="24"/>
              </w:rPr>
              <w:t>BME 437</w:t>
            </w:r>
          </w:p>
          <w:p w:rsidR="00FE322F" w:rsidRPr="002139DA" w:rsidRDefault="00FE322F" w:rsidP="00FE322F">
            <w:pPr>
              <w:pStyle w:val="ListParagraph"/>
              <w:numPr>
                <w:ilvl w:val="0"/>
                <w:numId w:val="26"/>
              </w:numPr>
              <w:rPr>
                <w:rFonts w:ascii="Tahoma" w:hAnsi="Tahoma" w:cs="Tahoma"/>
                <w:sz w:val="24"/>
                <w:szCs w:val="24"/>
              </w:rPr>
            </w:pPr>
            <w:r w:rsidRPr="002139DA">
              <w:rPr>
                <w:rFonts w:ascii="Tahoma" w:hAnsi="Tahoma" w:cs="Tahoma"/>
                <w:sz w:val="24"/>
                <w:szCs w:val="24"/>
              </w:rPr>
              <w:t>EDF 200</w:t>
            </w:r>
          </w:p>
          <w:p w:rsidR="00FE322F" w:rsidRPr="002139DA" w:rsidRDefault="00FE322F" w:rsidP="00FE322F">
            <w:pPr>
              <w:rPr>
                <w:rFonts w:ascii="Tahoma" w:hAnsi="Tahoma" w:cs="Tahoma"/>
                <w:sz w:val="24"/>
                <w:szCs w:val="24"/>
              </w:rPr>
            </w:pPr>
          </w:p>
          <w:p w:rsidR="00FE322F" w:rsidRDefault="00FE322F" w:rsidP="00FE322F">
            <w:pPr>
              <w:rPr>
                <w:rFonts w:ascii="Tahoma" w:hAnsi="Tahoma" w:cs="Tahoma"/>
                <w:sz w:val="24"/>
                <w:szCs w:val="24"/>
              </w:rPr>
            </w:pPr>
            <w:r w:rsidRPr="002139DA">
              <w:rPr>
                <w:rFonts w:ascii="Tahoma" w:hAnsi="Tahoma" w:cs="Tahoma"/>
                <w:sz w:val="24"/>
                <w:szCs w:val="24"/>
              </w:rPr>
              <w:t>Please note that you may be able to use some courses to meet more than one requirement. Contact your advisor for details.</w:t>
            </w:r>
          </w:p>
          <w:p w:rsidR="00FE322F" w:rsidRDefault="00FE322F" w:rsidP="00FE322F">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428"/>
            </w:tblGrid>
            <w:tr w:rsidR="00FE322F" w:rsidTr="00FE322F">
              <w:trPr>
                <w:tblHeader/>
                <w:tblCellSpacing w:w="15" w:type="dxa"/>
              </w:trPr>
              <w:tc>
                <w:tcPr>
                  <w:tcW w:w="2650" w:type="dxa"/>
                  <w:vAlign w:val="center"/>
                  <w:hideMark/>
                </w:tcPr>
                <w:p w:rsidR="00FE322F" w:rsidRDefault="00FE322F" w:rsidP="00FE322F">
                  <w:pPr>
                    <w:rPr>
                      <w:sz w:val="24"/>
                      <w:szCs w:val="24"/>
                    </w:rPr>
                  </w:pPr>
                  <w:r>
                    <w:t>Minimum Units for Completion</w:t>
                  </w:r>
                </w:p>
              </w:tc>
              <w:tc>
                <w:tcPr>
                  <w:tcW w:w="3383" w:type="dxa"/>
                  <w:vAlign w:val="center"/>
                  <w:hideMark/>
                </w:tcPr>
                <w:p w:rsidR="00FE322F" w:rsidRDefault="00FE322F" w:rsidP="00FE322F">
                  <w:pPr>
                    <w:rPr>
                      <w:sz w:val="24"/>
                      <w:szCs w:val="24"/>
                    </w:rPr>
                  </w:pPr>
                  <w:r>
                    <w:t>120</w:t>
                  </w:r>
                </w:p>
              </w:tc>
            </w:tr>
            <w:tr w:rsidR="00FE322F" w:rsidTr="00FE322F">
              <w:trPr>
                <w:tblCellSpacing w:w="15" w:type="dxa"/>
              </w:trPr>
              <w:tc>
                <w:tcPr>
                  <w:tcW w:w="2650" w:type="dxa"/>
                  <w:vAlign w:val="center"/>
                  <w:hideMark/>
                </w:tcPr>
                <w:p w:rsidR="00FE322F" w:rsidRDefault="00FE322F" w:rsidP="00FE322F">
                  <w:pPr>
                    <w:rPr>
                      <w:sz w:val="24"/>
                      <w:szCs w:val="24"/>
                    </w:rPr>
                  </w:pPr>
                  <w:r>
                    <w:t>GPA</w:t>
                  </w:r>
                </w:p>
              </w:tc>
              <w:tc>
                <w:tcPr>
                  <w:tcW w:w="3383" w:type="dxa"/>
                  <w:vAlign w:val="center"/>
                  <w:hideMark/>
                </w:tcPr>
                <w:p w:rsidR="00FE322F" w:rsidRDefault="00FE322F" w:rsidP="00FE322F">
                  <w:pPr>
                    <w:rPr>
                      <w:sz w:val="24"/>
                      <w:szCs w:val="24"/>
                    </w:rPr>
                  </w:pPr>
                  <w:r>
                    <w:t>2.5</w:t>
                  </w:r>
                </w:p>
              </w:tc>
            </w:tr>
            <w:tr w:rsidR="00FE322F" w:rsidTr="00FE322F">
              <w:trPr>
                <w:tblCellSpacing w:w="15" w:type="dxa"/>
              </w:trPr>
              <w:tc>
                <w:tcPr>
                  <w:tcW w:w="2650" w:type="dxa"/>
                  <w:vAlign w:val="center"/>
                  <w:hideMark/>
                </w:tcPr>
                <w:p w:rsidR="00FE322F" w:rsidRDefault="00FE322F" w:rsidP="00FE322F">
                  <w:pPr>
                    <w:rPr>
                      <w:sz w:val="24"/>
                      <w:szCs w:val="24"/>
                    </w:rPr>
                  </w:pPr>
                  <w:r>
                    <w:t>Additional Admission Requirements</w:t>
                  </w:r>
                </w:p>
              </w:tc>
              <w:tc>
                <w:tcPr>
                  <w:tcW w:w="3383" w:type="dxa"/>
                  <w:vAlign w:val="center"/>
                  <w:hideMark/>
                </w:tcPr>
                <w:p w:rsidR="00FE322F" w:rsidRDefault="00FE322F" w:rsidP="00FE322F">
                  <w:pPr>
                    <w:rPr>
                      <w:sz w:val="24"/>
                      <w:szCs w:val="24"/>
                    </w:rPr>
                  </w:pPr>
                  <w:r>
                    <w:t>Required</w:t>
                  </w:r>
                </w:p>
              </w:tc>
            </w:tr>
            <w:tr w:rsidR="00FE322F" w:rsidTr="00FE322F">
              <w:trPr>
                <w:tblCellSpacing w:w="15" w:type="dxa"/>
              </w:trPr>
              <w:tc>
                <w:tcPr>
                  <w:tcW w:w="2650" w:type="dxa"/>
                  <w:vAlign w:val="center"/>
                  <w:hideMark/>
                </w:tcPr>
                <w:p w:rsidR="00FE322F" w:rsidRDefault="00FE322F" w:rsidP="00FE322F">
                  <w:pPr>
                    <w:rPr>
                      <w:sz w:val="24"/>
                      <w:szCs w:val="24"/>
                    </w:rPr>
                  </w:pPr>
                  <w:r>
                    <w:t>Fieldwork Experience/Internship</w:t>
                  </w:r>
                </w:p>
              </w:tc>
              <w:tc>
                <w:tcPr>
                  <w:tcW w:w="3383" w:type="dxa"/>
                  <w:vAlign w:val="center"/>
                  <w:hideMark/>
                </w:tcPr>
                <w:p w:rsidR="00FE322F" w:rsidRDefault="00FE322F" w:rsidP="00FE322F">
                  <w:pPr>
                    <w:rPr>
                      <w:sz w:val="24"/>
                      <w:szCs w:val="24"/>
                    </w:rPr>
                  </w:pPr>
                  <w:r>
                    <w:t>Required</w:t>
                  </w:r>
                </w:p>
              </w:tc>
            </w:tr>
            <w:tr w:rsidR="00FE322F" w:rsidTr="00FE322F">
              <w:trPr>
                <w:tblCellSpacing w:w="15" w:type="dxa"/>
              </w:trPr>
              <w:tc>
                <w:tcPr>
                  <w:tcW w:w="2650" w:type="dxa"/>
                  <w:vAlign w:val="center"/>
                  <w:hideMark/>
                </w:tcPr>
                <w:p w:rsidR="00FE322F" w:rsidRDefault="00FE322F" w:rsidP="00FE322F">
                  <w:pPr>
                    <w:rPr>
                      <w:sz w:val="24"/>
                      <w:szCs w:val="24"/>
                    </w:rPr>
                  </w:pPr>
                  <w:r>
                    <w:t>Student Teaching/Supervised Teaching</w:t>
                  </w:r>
                </w:p>
              </w:tc>
              <w:tc>
                <w:tcPr>
                  <w:tcW w:w="3383" w:type="dxa"/>
                  <w:vAlign w:val="center"/>
                  <w:hideMark/>
                </w:tcPr>
                <w:p w:rsidR="00FE322F" w:rsidRDefault="00FE322F" w:rsidP="00FE322F">
                  <w:pPr>
                    <w:rPr>
                      <w:sz w:val="24"/>
                      <w:szCs w:val="24"/>
                    </w:rPr>
                  </w:pPr>
                  <w:r>
                    <w:t>Required</w:t>
                  </w:r>
                </w:p>
              </w:tc>
            </w:tr>
            <w:tr w:rsidR="00FE322F" w:rsidTr="00FE322F">
              <w:trPr>
                <w:tblCellSpacing w:w="15" w:type="dxa"/>
              </w:trPr>
              <w:tc>
                <w:tcPr>
                  <w:tcW w:w="2650" w:type="dxa"/>
                  <w:vAlign w:val="center"/>
                  <w:hideMark/>
                </w:tcPr>
                <w:p w:rsidR="00FE322F" w:rsidRDefault="00FE322F" w:rsidP="00FE322F">
                  <w:pPr>
                    <w:rPr>
                      <w:sz w:val="24"/>
                      <w:szCs w:val="24"/>
                    </w:rPr>
                  </w:pPr>
                  <w:r>
                    <w:t>University Honors Program</w:t>
                  </w:r>
                </w:p>
              </w:tc>
              <w:tc>
                <w:tcPr>
                  <w:tcW w:w="3383" w:type="dxa"/>
                  <w:vAlign w:val="center"/>
                  <w:hideMark/>
                </w:tcPr>
                <w:p w:rsidR="00FE322F" w:rsidRDefault="00FE322F" w:rsidP="00FE322F">
                  <w:pPr>
                    <w:rPr>
                      <w:sz w:val="24"/>
                      <w:szCs w:val="24"/>
                    </w:rPr>
                  </w:pPr>
                  <w:r>
                    <w:t>Optional</w:t>
                  </w:r>
                </w:p>
              </w:tc>
            </w:tr>
            <w:tr w:rsidR="00FE322F" w:rsidTr="00FE322F">
              <w:trPr>
                <w:tblCellSpacing w:w="15" w:type="dxa"/>
              </w:trPr>
              <w:tc>
                <w:tcPr>
                  <w:tcW w:w="2650" w:type="dxa"/>
                  <w:vAlign w:val="center"/>
                  <w:hideMark/>
                </w:tcPr>
                <w:p w:rsidR="00FE322F" w:rsidRDefault="00FE322F" w:rsidP="00FE322F">
                  <w:pPr>
                    <w:rPr>
                      <w:sz w:val="24"/>
                      <w:szCs w:val="24"/>
                    </w:rPr>
                  </w:pPr>
                  <w:r>
                    <w:t>Progression Plan</w:t>
                  </w:r>
                </w:p>
              </w:tc>
              <w:tc>
                <w:tcPr>
                  <w:tcW w:w="3383" w:type="dxa"/>
                  <w:vAlign w:val="center"/>
                  <w:hideMark/>
                </w:tcPr>
                <w:p w:rsidR="00FE322F" w:rsidRDefault="00875FF4" w:rsidP="00FE322F">
                  <w:pPr>
                    <w:rPr>
                      <w:sz w:val="24"/>
                      <w:szCs w:val="24"/>
                    </w:rPr>
                  </w:pPr>
                  <w:hyperlink r:id="rId14" w:anchor="AREDBSEDX" w:tgtFrame="_blank" w:history="1">
                    <w:r w:rsidR="00FE322F">
                      <w:rPr>
                        <w:rStyle w:val="Hyperlink"/>
                      </w:rPr>
                      <w:t>View Progression Plan</w:t>
                    </w:r>
                  </w:hyperlink>
                </w:p>
              </w:tc>
            </w:tr>
          </w:tbl>
          <w:p w:rsidR="00FE322F" w:rsidRDefault="00FE322F" w:rsidP="00FE322F">
            <w:pPr>
              <w:rPr>
                <w:rFonts w:ascii="Tahoma" w:hAnsi="Tahoma" w:cs="Tahoma"/>
                <w:sz w:val="24"/>
                <w:szCs w:val="24"/>
              </w:rPr>
            </w:pPr>
          </w:p>
          <w:p w:rsidR="00FE322F" w:rsidRDefault="00FE322F" w:rsidP="00FE322F">
            <w:pPr>
              <w:rPr>
                <w:rFonts w:ascii="Tahoma" w:hAnsi="Tahoma" w:cs="Tahoma"/>
                <w:sz w:val="24"/>
                <w:szCs w:val="24"/>
              </w:rPr>
            </w:pPr>
          </w:p>
          <w:p w:rsidR="00FE322F" w:rsidRPr="002139DA" w:rsidRDefault="00FE322F" w:rsidP="00FE322F">
            <w:pPr>
              <w:rPr>
                <w:rFonts w:ascii="Tahoma" w:hAnsi="Tahoma" w:cs="Tahoma"/>
                <w:i/>
                <w:sz w:val="24"/>
                <w:szCs w:val="24"/>
              </w:rPr>
            </w:pPr>
            <w:r w:rsidRPr="002139DA">
              <w:rPr>
                <w:rFonts w:ascii="Tahoma" w:hAnsi="Tahoma" w:cs="Tahoma"/>
                <w:i/>
                <w:sz w:val="24"/>
                <w:szCs w:val="24"/>
              </w:rPr>
              <w:lastRenderedPageBreak/>
              <w:t>Additional Admission Requirements</w:t>
            </w:r>
          </w:p>
          <w:p w:rsidR="00FE322F" w:rsidRPr="002139DA" w:rsidRDefault="00FE322F" w:rsidP="00FE322F">
            <w:pPr>
              <w:rPr>
                <w:rFonts w:ascii="Tahoma" w:hAnsi="Tahoma" w:cs="Tahoma"/>
                <w:sz w:val="24"/>
                <w:szCs w:val="24"/>
              </w:rPr>
            </w:pPr>
            <w:r w:rsidRPr="002139DA">
              <w:rPr>
                <w:rFonts w:ascii="Tahoma" w:hAnsi="Tahoma" w:cs="Tahoma"/>
                <w:sz w:val="24"/>
                <w:szCs w:val="24"/>
              </w:rPr>
              <w:t>Admission requirements over and above admission to NAU are required.</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sz w:val="24"/>
                <w:szCs w:val="24"/>
              </w:rPr>
            </w:pPr>
            <w:r w:rsidRPr="002139DA">
              <w:rPr>
                <w:rFonts w:ascii="Tahoma" w:hAnsi="Tahoma" w:cs="Tahoma"/>
                <w:sz w:val="24"/>
                <w:szCs w:val="24"/>
              </w:rPr>
              <w:t>To be eligible for admission to the program, candidates must meet the following requirements:</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sz w:val="24"/>
                <w:szCs w:val="24"/>
              </w:rPr>
            </w:pPr>
            <w:r w:rsidRPr="002139DA">
              <w:rPr>
                <w:rFonts w:ascii="Tahoma" w:hAnsi="Tahoma" w:cs="Tahoma"/>
                <w:sz w:val="24"/>
                <w:szCs w:val="24"/>
              </w:rPr>
              <w:t>30 units of coursework which includes:</w:t>
            </w:r>
          </w:p>
          <w:p w:rsidR="00FE322F" w:rsidRPr="002139DA" w:rsidRDefault="00FE322F" w:rsidP="00FE322F">
            <w:pPr>
              <w:pStyle w:val="ListParagraph"/>
              <w:numPr>
                <w:ilvl w:val="0"/>
                <w:numId w:val="30"/>
              </w:numPr>
              <w:rPr>
                <w:rFonts w:ascii="Tahoma" w:hAnsi="Tahoma" w:cs="Tahoma"/>
                <w:sz w:val="24"/>
                <w:szCs w:val="24"/>
              </w:rPr>
            </w:pPr>
            <w:r w:rsidRPr="002139DA">
              <w:rPr>
                <w:rFonts w:ascii="Tahoma" w:hAnsi="Tahoma" w:cs="Tahoma"/>
                <w:sz w:val="24"/>
                <w:szCs w:val="24"/>
              </w:rPr>
              <w:t>EDF 200 with a grade of "C" or better</w:t>
            </w:r>
          </w:p>
          <w:p w:rsidR="00FE322F" w:rsidRPr="002139DA" w:rsidRDefault="00FE322F" w:rsidP="00FE322F">
            <w:pPr>
              <w:pStyle w:val="ListParagraph"/>
              <w:numPr>
                <w:ilvl w:val="0"/>
                <w:numId w:val="30"/>
              </w:numPr>
              <w:rPr>
                <w:rFonts w:ascii="Tahoma" w:hAnsi="Tahoma" w:cs="Tahoma"/>
                <w:sz w:val="24"/>
                <w:szCs w:val="24"/>
              </w:rPr>
            </w:pPr>
            <w:r w:rsidRPr="002139DA">
              <w:rPr>
                <w:rFonts w:ascii="Tahoma" w:hAnsi="Tahoma" w:cs="Tahoma"/>
                <w:sz w:val="24"/>
                <w:szCs w:val="24"/>
              </w:rPr>
              <w:t>MAT 110 or MAT 114 with a grade of "C" or better</w:t>
            </w:r>
          </w:p>
          <w:p w:rsidR="00585A6B" w:rsidRDefault="00FE322F" w:rsidP="00585A6B">
            <w:pPr>
              <w:pStyle w:val="ListParagraph"/>
              <w:numPr>
                <w:ilvl w:val="0"/>
                <w:numId w:val="30"/>
              </w:numPr>
              <w:rPr>
                <w:rFonts w:ascii="Tahoma" w:hAnsi="Tahoma" w:cs="Tahoma"/>
                <w:sz w:val="24"/>
                <w:szCs w:val="24"/>
              </w:rPr>
            </w:pPr>
            <w:r w:rsidRPr="002139DA">
              <w:rPr>
                <w:rFonts w:ascii="Tahoma" w:hAnsi="Tahoma" w:cs="Tahoma"/>
                <w:sz w:val="24"/>
                <w:szCs w:val="24"/>
              </w:rPr>
              <w:t>The English foundations requirement (ENG 105 or equivalent) with a minimum GPA of 3.0.  (If your English GPA is below 3.0, you may take an approved writing course to achieve the 3.0 GPA.)</w:t>
            </w:r>
          </w:p>
          <w:p w:rsidR="00FE322F" w:rsidRPr="00585A6B" w:rsidRDefault="00FE322F" w:rsidP="00585A6B">
            <w:pPr>
              <w:rPr>
                <w:rFonts w:ascii="Tahoma" w:hAnsi="Tahoma" w:cs="Tahoma"/>
                <w:sz w:val="24"/>
                <w:szCs w:val="24"/>
              </w:rPr>
            </w:pPr>
            <w:r w:rsidRPr="00585A6B">
              <w:rPr>
                <w:rFonts w:ascii="Tahoma" w:hAnsi="Tahoma" w:cs="Tahoma"/>
                <w:sz w:val="24"/>
                <w:szCs w:val="24"/>
              </w:rPr>
              <w:t xml:space="preserve">A minimum GPA of </w:t>
            </w:r>
            <w:r w:rsidRPr="00A16660">
              <w:rPr>
                <w:rFonts w:ascii="Tahoma" w:hAnsi="Tahoma" w:cs="Tahoma"/>
                <w:b/>
                <w:strike/>
                <w:color w:val="FF0000"/>
                <w:sz w:val="24"/>
                <w:szCs w:val="24"/>
              </w:rPr>
              <w:t>2.5</w:t>
            </w:r>
            <w:r w:rsidRPr="00585A6B">
              <w:rPr>
                <w:rFonts w:ascii="Tahoma" w:hAnsi="Tahoma" w:cs="Tahoma"/>
                <w:sz w:val="24"/>
                <w:szCs w:val="24"/>
              </w:rPr>
              <w:t xml:space="preserve"> </w:t>
            </w:r>
            <w:r w:rsidR="00A16660" w:rsidRPr="00A16660">
              <w:rPr>
                <w:rFonts w:ascii="Tahoma" w:hAnsi="Tahoma" w:cs="Tahoma"/>
                <w:b/>
                <w:sz w:val="24"/>
                <w:szCs w:val="24"/>
              </w:rPr>
              <w:t>3.0</w:t>
            </w:r>
            <w:r w:rsidR="00A16660">
              <w:rPr>
                <w:rFonts w:ascii="Tahoma" w:hAnsi="Tahoma" w:cs="Tahoma"/>
                <w:sz w:val="24"/>
                <w:szCs w:val="24"/>
              </w:rPr>
              <w:t xml:space="preserve"> </w:t>
            </w:r>
            <w:r w:rsidRPr="00585A6B">
              <w:rPr>
                <w:rFonts w:ascii="Tahoma" w:hAnsi="Tahoma" w:cs="Tahoma"/>
                <w:sz w:val="24"/>
                <w:szCs w:val="24"/>
              </w:rPr>
              <w:t xml:space="preserve">in all content major coursework (must have taken at least 3 units) and </w:t>
            </w:r>
            <w:r w:rsidRPr="00585A6B">
              <w:rPr>
                <w:rFonts w:ascii="Tahoma" w:hAnsi="Tahoma" w:cs="Tahoma"/>
                <w:b/>
                <w:strike/>
                <w:color w:val="FF0000"/>
                <w:sz w:val="24"/>
                <w:szCs w:val="24"/>
              </w:rPr>
              <w:t>one of the following:</w:t>
            </w:r>
          </w:p>
          <w:p w:rsidR="00FE322F" w:rsidRPr="00585A6B" w:rsidRDefault="00FE322F" w:rsidP="00585A6B">
            <w:pPr>
              <w:pStyle w:val="ListParagraph"/>
              <w:ind w:left="360"/>
              <w:rPr>
                <w:rFonts w:ascii="Tahoma" w:hAnsi="Tahoma" w:cs="Tahoma"/>
                <w:sz w:val="24"/>
                <w:szCs w:val="24"/>
              </w:rPr>
            </w:pPr>
            <w:r w:rsidRPr="00585A6B">
              <w:rPr>
                <w:rFonts w:ascii="Tahoma" w:hAnsi="Tahoma" w:cs="Tahoma"/>
                <w:b/>
                <w:strike/>
                <w:color w:val="FF0000"/>
                <w:sz w:val="24"/>
                <w:szCs w:val="24"/>
              </w:rPr>
              <w:t>A cumulative 2.5 GPA in Liberal Studies courses</w:t>
            </w:r>
            <w:r w:rsidR="00585A6B">
              <w:rPr>
                <w:rFonts w:ascii="Tahoma" w:hAnsi="Tahoma" w:cs="Tahoma"/>
                <w:b/>
                <w:strike/>
                <w:color w:val="FF0000"/>
                <w:sz w:val="24"/>
                <w:szCs w:val="24"/>
              </w:rPr>
              <w:t xml:space="preserve"> </w:t>
            </w:r>
            <w:r w:rsidR="00585A6B" w:rsidRPr="00585A6B">
              <w:rPr>
                <w:rFonts w:ascii="Tahoma" w:hAnsi="Tahoma" w:cs="Tahoma"/>
                <w:b/>
                <w:sz w:val="24"/>
                <w:szCs w:val="24"/>
              </w:rPr>
              <w:t>a</w:t>
            </w:r>
            <w:r w:rsidRPr="00585A6B">
              <w:rPr>
                <w:rFonts w:ascii="Tahoma" w:hAnsi="Tahoma" w:cs="Tahoma"/>
                <w:sz w:val="24"/>
                <w:szCs w:val="24"/>
              </w:rPr>
              <w:t xml:space="preserve"> cumulative 2.5 GPA </w:t>
            </w:r>
            <w:r w:rsidRPr="00585A6B">
              <w:rPr>
                <w:rFonts w:ascii="Tahoma" w:hAnsi="Tahoma" w:cs="Tahoma"/>
                <w:b/>
                <w:strike/>
                <w:color w:val="FF0000"/>
                <w:sz w:val="24"/>
                <w:szCs w:val="24"/>
              </w:rPr>
              <w:t>in all courses</w:t>
            </w:r>
          </w:p>
          <w:p w:rsidR="00FE322F" w:rsidRPr="002139DA" w:rsidRDefault="00FE322F" w:rsidP="00FE322F">
            <w:pPr>
              <w:rPr>
                <w:rFonts w:ascii="Tahoma" w:hAnsi="Tahoma" w:cs="Tahoma"/>
                <w:sz w:val="24"/>
                <w:szCs w:val="24"/>
              </w:rPr>
            </w:pPr>
            <w:r w:rsidRPr="002139DA">
              <w:rPr>
                <w:rFonts w:ascii="Tahoma" w:hAnsi="Tahoma" w:cs="Tahoma"/>
                <w:sz w:val="24"/>
                <w:szCs w:val="24"/>
              </w:rPr>
              <w:t>Additional requirements:</w:t>
            </w:r>
          </w:p>
          <w:p w:rsidR="00FE322F" w:rsidRPr="002139DA" w:rsidRDefault="00FE322F" w:rsidP="00FE322F">
            <w:pPr>
              <w:pStyle w:val="ListParagraph"/>
              <w:numPr>
                <w:ilvl w:val="0"/>
                <w:numId w:val="29"/>
              </w:numPr>
              <w:rPr>
                <w:rFonts w:ascii="Tahoma" w:hAnsi="Tahoma" w:cs="Tahoma"/>
                <w:sz w:val="24"/>
                <w:szCs w:val="24"/>
              </w:rPr>
            </w:pPr>
            <w:r w:rsidRPr="002139DA">
              <w:rPr>
                <w:rFonts w:ascii="Tahoma" w:hAnsi="Tahoma" w:cs="Tahoma"/>
                <w:sz w:val="24"/>
                <w:szCs w:val="24"/>
              </w:rPr>
              <w:t>You must be declared in this major</w:t>
            </w:r>
          </w:p>
          <w:p w:rsidR="00FE322F" w:rsidRPr="002139DA" w:rsidRDefault="00FE322F" w:rsidP="00FE322F">
            <w:pPr>
              <w:pStyle w:val="ListParagraph"/>
              <w:numPr>
                <w:ilvl w:val="0"/>
                <w:numId w:val="29"/>
              </w:numPr>
              <w:rPr>
                <w:rFonts w:ascii="Tahoma" w:hAnsi="Tahoma" w:cs="Tahoma"/>
                <w:sz w:val="24"/>
                <w:szCs w:val="24"/>
              </w:rPr>
            </w:pPr>
            <w:r w:rsidRPr="002139DA">
              <w:rPr>
                <w:rFonts w:ascii="Tahoma" w:hAnsi="Tahoma" w:cs="Tahoma"/>
                <w:sz w:val="24"/>
                <w:szCs w:val="24"/>
              </w:rPr>
              <w:t>Completion of a teacher-education orientation for Secondary Education</w:t>
            </w:r>
          </w:p>
          <w:p w:rsidR="00FE322F" w:rsidRPr="002139DA" w:rsidRDefault="00FE322F" w:rsidP="00FE322F">
            <w:pPr>
              <w:pStyle w:val="ListParagraph"/>
              <w:numPr>
                <w:ilvl w:val="0"/>
                <w:numId w:val="29"/>
              </w:numPr>
              <w:rPr>
                <w:rFonts w:ascii="Tahoma" w:hAnsi="Tahoma" w:cs="Tahoma"/>
                <w:sz w:val="24"/>
                <w:szCs w:val="24"/>
              </w:rPr>
            </w:pPr>
            <w:r w:rsidRPr="002139DA">
              <w:rPr>
                <w:rFonts w:ascii="Tahoma" w:hAnsi="Tahoma" w:cs="Tahoma"/>
                <w:sz w:val="24"/>
                <w:szCs w:val="24"/>
              </w:rPr>
              <w:t>Submission of a copy of your State-approved Identity-Verified Print (IVP) fingerprint clearance card, obtainable through the Arizona Department of Public Safety (602-223-2279)</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i/>
                <w:sz w:val="24"/>
                <w:szCs w:val="24"/>
              </w:rPr>
            </w:pPr>
            <w:r w:rsidRPr="002139DA">
              <w:rPr>
                <w:rFonts w:ascii="Tahoma" w:hAnsi="Tahoma" w:cs="Tahoma"/>
                <w:i/>
                <w:sz w:val="24"/>
                <w:szCs w:val="24"/>
              </w:rPr>
              <w:t>Major Requirements</w:t>
            </w:r>
          </w:p>
          <w:p w:rsidR="00FE322F" w:rsidRPr="00FF0A33" w:rsidRDefault="00FE322F" w:rsidP="00FE322F">
            <w:pPr>
              <w:rPr>
                <w:rFonts w:ascii="Tahoma" w:hAnsi="Tahoma" w:cs="Tahoma"/>
                <w:b/>
                <w:sz w:val="24"/>
                <w:szCs w:val="24"/>
              </w:rPr>
            </w:pPr>
            <w:r w:rsidRPr="002139DA">
              <w:rPr>
                <w:rFonts w:ascii="Tahoma" w:hAnsi="Tahoma" w:cs="Tahoma"/>
                <w:sz w:val="24"/>
                <w:szCs w:val="24"/>
              </w:rPr>
              <w:t xml:space="preserve">To be prepared to teach art in kindergarten through 12th grade, take the following 82 units </w:t>
            </w:r>
            <w:r w:rsidRPr="00FF0A33">
              <w:rPr>
                <w:rFonts w:ascii="Tahoma" w:hAnsi="Tahoma" w:cs="Tahoma"/>
                <w:sz w:val="24"/>
                <w:szCs w:val="24"/>
              </w:rPr>
              <w:t xml:space="preserve">with </w:t>
            </w:r>
            <w:r w:rsidR="00FF0A33" w:rsidRPr="00FF0A33">
              <w:rPr>
                <w:rFonts w:ascii="Tahoma" w:hAnsi="Tahoma" w:cs="Tahoma"/>
                <w:b/>
                <w:sz w:val="24"/>
                <w:szCs w:val="24"/>
              </w:rPr>
              <w:t>grades of C or better, and</w:t>
            </w:r>
            <w:r w:rsidR="00FF0A33">
              <w:rPr>
                <w:rFonts w:ascii="Tahoma" w:hAnsi="Tahoma" w:cs="Tahoma"/>
                <w:sz w:val="24"/>
                <w:szCs w:val="24"/>
              </w:rPr>
              <w:t xml:space="preserve"> </w:t>
            </w:r>
            <w:r w:rsidRPr="002139DA">
              <w:rPr>
                <w:rFonts w:ascii="Tahoma" w:hAnsi="Tahoma" w:cs="Tahoma"/>
                <w:sz w:val="24"/>
                <w:szCs w:val="24"/>
              </w:rPr>
              <w:t xml:space="preserve">a minimum GPA of </w:t>
            </w:r>
            <w:r w:rsidR="008C3C95" w:rsidRPr="00FF0A33">
              <w:rPr>
                <w:rFonts w:ascii="Tahoma" w:hAnsi="Tahoma" w:cs="Tahoma"/>
                <w:b/>
                <w:strike/>
                <w:color w:val="FF0000"/>
                <w:sz w:val="24"/>
                <w:szCs w:val="24"/>
              </w:rPr>
              <w:t>2.5</w:t>
            </w:r>
            <w:r w:rsidR="008C3C95" w:rsidRPr="00FF0A33">
              <w:rPr>
                <w:rFonts w:ascii="Tahoma" w:hAnsi="Tahoma" w:cs="Tahoma"/>
                <w:b/>
                <w:sz w:val="24"/>
                <w:szCs w:val="24"/>
              </w:rPr>
              <w:t xml:space="preserve"> 3.0 </w:t>
            </w:r>
            <w:r w:rsidR="00FF0A33" w:rsidRPr="00FF0A33">
              <w:rPr>
                <w:rFonts w:ascii="Tahoma" w:hAnsi="Tahoma" w:cs="Tahoma"/>
                <w:b/>
                <w:sz w:val="24"/>
                <w:szCs w:val="24"/>
              </w:rPr>
              <w:t xml:space="preserve">in all ARE, ARH, </w:t>
            </w:r>
            <w:r w:rsidR="00FF0A33">
              <w:rPr>
                <w:rFonts w:ascii="Tahoma" w:hAnsi="Tahoma" w:cs="Tahoma"/>
                <w:b/>
                <w:sz w:val="24"/>
                <w:szCs w:val="24"/>
              </w:rPr>
              <w:t xml:space="preserve">and </w:t>
            </w:r>
            <w:r w:rsidR="00FF0A33" w:rsidRPr="00FF0A33">
              <w:rPr>
                <w:rFonts w:ascii="Tahoma" w:hAnsi="Tahoma" w:cs="Tahoma"/>
                <w:b/>
                <w:sz w:val="24"/>
                <w:szCs w:val="24"/>
              </w:rPr>
              <w:t>ART coursework</w:t>
            </w:r>
            <w:r w:rsidR="008C3C95" w:rsidRPr="00FF0A33">
              <w:rPr>
                <w:rFonts w:ascii="Tahoma" w:hAnsi="Tahoma" w:cs="Tahoma"/>
                <w:b/>
                <w:sz w:val="24"/>
                <w:szCs w:val="24"/>
              </w:rPr>
              <w:t>:</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ART 135, ART 136, ART 150, ART 151 (12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ARH 141, ARH 142 (6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ARH electives (6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ARE 200, ARE 308, ARE 330W, ARE 331, ARE 421, ARE 431, ARE 432 (19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Studio art courses approved by your art education advisor, with at least 9 units in upper-division studio courses (18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lastRenderedPageBreak/>
              <w:t>BME 437 (3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EDF 200 (3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EPS 325 (3 units)</w:t>
            </w:r>
          </w:p>
          <w:p w:rsidR="00FE322F" w:rsidRPr="002139DA" w:rsidRDefault="00FE322F" w:rsidP="00FE322F">
            <w:pPr>
              <w:pStyle w:val="ListParagraph"/>
              <w:numPr>
                <w:ilvl w:val="0"/>
                <w:numId w:val="28"/>
              </w:numPr>
              <w:rPr>
                <w:rFonts w:ascii="Tahoma" w:hAnsi="Tahoma" w:cs="Tahoma"/>
                <w:sz w:val="24"/>
                <w:szCs w:val="24"/>
              </w:rPr>
            </w:pPr>
            <w:r w:rsidRPr="002139DA">
              <w:rPr>
                <w:rFonts w:ascii="Tahoma" w:hAnsi="Tahoma" w:cs="Tahoma"/>
                <w:sz w:val="24"/>
                <w:szCs w:val="24"/>
              </w:rPr>
              <w:t>ARE 495C (12 units)</w:t>
            </w:r>
          </w:p>
          <w:p w:rsidR="00FE322F" w:rsidRPr="002139DA" w:rsidRDefault="00FE322F" w:rsidP="00FE322F">
            <w:pPr>
              <w:rPr>
                <w:rFonts w:ascii="Tahoma" w:hAnsi="Tahoma" w:cs="Tahoma"/>
                <w:sz w:val="24"/>
                <w:szCs w:val="24"/>
              </w:rPr>
            </w:pPr>
            <w:r w:rsidRPr="002139DA">
              <w:rPr>
                <w:rFonts w:ascii="Tahoma" w:hAnsi="Tahoma" w:cs="Tahoma"/>
                <w:sz w:val="24"/>
                <w:szCs w:val="24"/>
              </w:rPr>
              <w:t>Note that PHO courses, ART 100, ART 101, and ART 300 do not fulfill the requirements of the B.S. Ed Art Education major.</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i/>
                <w:sz w:val="24"/>
                <w:szCs w:val="24"/>
              </w:rPr>
            </w:pPr>
            <w:r w:rsidRPr="002139DA">
              <w:rPr>
                <w:rFonts w:ascii="Tahoma" w:hAnsi="Tahoma" w:cs="Tahoma"/>
                <w:i/>
                <w:sz w:val="24"/>
                <w:szCs w:val="24"/>
              </w:rPr>
              <w:t>Teacher Preparation</w:t>
            </w:r>
          </w:p>
          <w:p w:rsidR="00FE322F" w:rsidRPr="002139DA" w:rsidRDefault="00FE322F" w:rsidP="00FE322F">
            <w:pPr>
              <w:rPr>
                <w:rFonts w:ascii="Tahoma" w:hAnsi="Tahoma" w:cs="Tahoma"/>
                <w:sz w:val="24"/>
                <w:szCs w:val="24"/>
              </w:rPr>
            </w:pPr>
            <w:r w:rsidRPr="002139DA">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2139DA">
              <w:rPr>
                <w:rFonts w:ascii="Tahoma" w:hAnsi="Tahoma" w:cs="Tahoma"/>
                <w:sz w:val="24"/>
                <w:szCs w:val="24"/>
              </w:rPr>
              <w:t>is</w:t>
            </w:r>
            <w:proofErr w:type="gramEnd"/>
            <w:r w:rsidRPr="002139DA">
              <w:rPr>
                <w:rFonts w:ascii="Tahoma" w:hAnsi="Tahoma" w:cs="Tahoma"/>
                <w:sz w:val="24"/>
                <w:szCs w:val="24"/>
              </w:rPr>
              <w:t xml:space="preserve"> required, which involves supervised field experience with a practicing teacher. </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sz w:val="24"/>
                <w:szCs w:val="24"/>
              </w:rPr>
            </w:pPr>
            <w:r w:rsidRPr="002139DA">
              <w:rPr>
                <w:rFonts w:ascii="Tahoma" w:hAnsi="Tahoma" w:cs="Tahoma"/>
                <w:sz w:val="24"/>
                <w:szCs w:val="24"/>
              </w:rPr>
              <w:t>Before being accepted to student teaching, the following criteria must be met:</w:t>
            </w:r>
          </w:p>
          <w:p w:rsidR="00FE322F" w:rsidRPr="002139DA" w:rsidRDefault="00FE322F" w:rsidP="00FE322F">
            <w:pPr>
              <w:pStyle w:val="ListParagraph"/>
              <w:numPr>
                <w:ilvl w:val="0"/>
                <w:numId w:val="27"/>
              </w:numPr>
              <w:rPr>
                <w:rFonts w:ascii="Tahoma" w:hAnsi="Tahoma" w:cs="Tahoma"/>
                <w:sz w:val="24"/>
                <w:szCs w:val="24"/>
              </w:rPr>
            </w:pPr>
            <w:r w:rsidRPr="002139DA">
              <w:rPr>
                <w:rFonts w:ascii="Tahoma" w:hAnsi="Tahoma" w:cs="Tahoma"/>
                <w:sz w:val="24"/>
                <w:szCs w:val="24"/>
              </w:rPr>
              <w:t>Admission to the teacher education program</w:t>
            </w:r>
          </w:p>
          <w:p w:rsidR="00FE322F" w:rsidRPr="002139DA" w:rsidRDefault="00FE322F" w:rsidP="00FE322F">
            <w:pPr>
              <w:pStyle w:val="ListParagraph"/>
              <w:numPr>
                <w:ilvl w:val="0"/>
                <w:numId w:val="27"/>
              </w:numPr>
              <w:rPr>
                <w:rFonts w:ascii="Tahoma" w:hAnsi="Tahoma" w:cs="Tahoma"/>
                <w:sz w:val="24"/>
                <w:szCs w:val="24"/>
              </w:rPr>
            </w:pPr>
            <w:r w:rsidRPr="002139DA">
              <w:rPr>
                <w:rFonts w:ascii="Tahoma" w:hAnsi="Tahoma" w:cs="Tahoma"/>
                <w:sz w:val="24"/>
                <w:szCs w:val="24"/>
              </w:rPr>
              <w:t xml:space="preserve">NAU GPA must be at least 2.5, with a GPA of </w:t>
            </w:r>
            <w:r w:rsidRPr="00FF0A33">
              <w:rPr>
                <w:rFonts w:ascii="Tahoma" w:hAnsi="Tahoma" w:cs="Tahoma"/>
                <w:b/>
                <w:strike/>
                <w:color w:val="FF0000"/>
                <w:sz w:val="24"/>
                <w:szCs w:val="24"/>
              </w:rPr>
              <w:t>2.5</w:t>
            </w:r>
            <w:r w:rsidRPr="002139DA">
              <w:rPr>
                <w:rFonts w:ascii="Tahoma" w:hAnsi="Tahoma" w:cs="Tahoma"/>
                <w:sz w:val="24"/>
                <w:szCs w:val="24"/>
              </w:rPr>
              <w:t xml:space="preserve"> </w:t>
            </w:r>
            <w:r w:rsidR="00FF0A33" w:rsidRPr="00FF0A33">
              <w:rPr>
                <w:rFonts w:ascii="Tahoma" w:hAnsi="Tahoma" w:cs="Tahoma"/>
                <w:b/>
                <w:sz w:val="24"/>
                <w:szCs w:val="24"/>
              </w:rPr>
              <w:t xml:space="preserve">3.0 in all ARE, ARH, </w:t>
            </w:r>
            <w:r w:rsidR="00FF0A33">
              <w:rPr>
                <w:rFonts w:ascii="Tahoma" w:hAnsi="Tahoma" w:cs="Tahoma"/>
                <w:b/>
                <w:sz w:val="24"/>
                <w:szCs w:val="24"/>
              </w:rPr>
              <w:t xml:space="preserve">and </w:t>
            </w:r>
            <w:r w:rsidR="00FF0A33" w:rsidRPr="00FF0A33">
              <w:rPr>
                <w:rFonts w:ascii="Tahoma" w:hAnsi="Tahoma" w:cs="Tahoma"/>
                <w:b/>
                <w:sz w:val="24"/>
                <w:szCs w:val="24"/>
              </w:rPr>
              <w:t>ART</w:t>
            </w:r>
            <w:r w:rsidR="00FF0A33">
              <w:rPr>
                <w:rFonts w:ascii="Tahoma" w:hAnsi="Tahoma" w:cs="Tahoma"/>
                <w:sz w:val="24"/>
                <w:szCs w:val="24"/>
              </w:rPr>
              <w:t xml:space="preserve"> </w:t>
            </w:r>
            <w:r w:rsidRPr="00FF0A33">
              <w:rPr>
                <w:rFonts w:ascii="Tahoma" w:hAnsi="Tahoma" w:cs="Tahoma"/>
                <w:b/>
                <w:strike/>
                <w:color w:val="FF0000"/>
                <w:sz w:val="24"/>
                <w:szCs w:val="24"/>
              </w:rPr>
              <w:t xml:space="preserve">teacher preparation </w:t>
            </w:r>
            <w:r w:rsidRPr="002139DA">
              <w:rPr>
                <w:rFonts w:ascii="Tahoma" w:hAnsi="Tahoma" w:cs="Tahoma"/>
                <w:sz w:val="24"/>
                <w:szCs w:val="24"/>
              </w:rPr>
              <w:t>courses, with no grade lower than a C</w:t>
            </w:r>
            <w:r w:rsidR="00FF0A33">
              <w:rPr>
                <w:rFonts w:ascii="Tahoma" w:hAnsi="Tahoma" w:cs="Tahoma"/>
                <w:sz w:val="24"/>
                <w:szCs w:val="24"/>
              </w:rPr>
              <w:t xml:space="preserve"> </w:t>
            </w:r>
            <w:r w:rsidR="00FF0A33" w:rsidRPr="00FF0A33">
              <w:rPr>
                <w:rFonts w:ascii="Tahoma" w:hAnsi="Tahoma" w:cs="Tahoma"/>
                <w:b/>
                <w:sz w:val="24"/>
                <w:szCs w:val="24"/>
              </w:rPr>
              <w:t>in the major</w:t>
            </w:r>
            <w:r w:rsidR="00FF0A33">
              <w:rPr>
                <w:rFonts w:ascii="Tahoma" w:hAnsi="Tahoma" w:cs="Tahoma"/>
                <w:sz w:val="24"/>
                <w:szCs w:val="24"/>
              </w:rPr>
              <w:t>.</w:t>
            </w:r>
          </w:p>
          <w:p w:rsidR="00FE322F" w:rsidRPr="002139DA" w:rsidRDefault="00FE322F" w:rsidP="00FE322F">
            <w:pPr>
              <w:pStyle w:val="ListParagraph"/>
              <w:numPr>
                <w:ilvl w:val="0"/>
                <w:numId w:val="27"/>
              </w:numPr>
              <w:rPr>
                <w:rFonts w:ascii="Tahoma" w:hAnsi="Tahoma" w:cs="Tahoma"/>
                <w:sz w:val="24"/>
                <w:szCs w:val="24"/>
              </w:rPr>
            </w:pPr>
            <w:r w:rsidRPr="002139DA">
              <w:rPr>
                <w:rFonts w:ascii="Tahoma" w:hAnsi="Tahoma" w:cs="Tahoma"/>
                <w:sz w:val="24"/>
                <w:szCs w:val="24"/>
              </w:rPr>
              <w:t>Complete all plan requirements.</w:t>
            </w:r>
          </w:p>
          <w:p w:rsidR="00FE322F" w:rsidRPr="002139DA" w:rsidRDefault="00FE322F" w:rsidP="00FE322F">
            <w:pPr>
              <w:pStyle w:val="ListParagraph"/>
              <w:numPr>
                <w:ilvl w:val="0"/>
                <w:numId w:val="27"/>
              </w:numPr>
              <w:rPr>
                <w:rFonts w:ascii="Tahoma" w:hAnsi="Tahoma" w:cs="Tahoma"/>
                <w:sz w:val="24"/>
                <w:szCs w:val="24"/>
              </w:rPr>
            </w:pPr>
            <w:r w:rsidRPr="002139DA">
              <w:rPr>
                <w:rFonts w:ascii="Tahoma" w:hAnsi="Tahoma" w:cs="Tahoma"/>
                <w:sz w:val="24"/>
                <w:szCs w:val="24"/>
              </w:rPr>
              <w:t>All ARE coursework must be completed within the six years prior to student teaching.</w:t>
            </w:r>
          </w:p>
          <w:p w:rsidR="00FE322F" w:rsidRPr="002139DA" w:rsidRDefault="00FE322F" w:rsidP="00FE322F">
            <w:pPr>
              <w:pStyle w:val="ListParagraph"/>
              <w:numPr>
                <w:ilvl w:val="0"/>
                <w:numId w:val="27"/>
              </w:numPr>
              <w:rPr>
                <w:rFonts w:ascii="Tahoma" w:hAnsi="Tahoma" w:cs="Tahoma"/>
                <w:sz w:val="24"/>
                <w:szCs w:val="24"/>
              </w:rPr>
            </w:pPr>
            <w:r w:rsidRPr="002139DA">
              <w:rPr>
                <w:rFonts w:ascii="Tahoma" w:hAnsi="Tahoma" w:cs="Tahoma"/>
                <w:sz w:val="24"/>
                <w:szCs w:val="24"/>
              </w:rPr>
              <w:t>All candidates must demonstrate social and emotional maturity consistent with professional standards of classroom instruction as well as adequate physical health for teaching.</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i/>
                <w:sz w:val="24"/>
                <w:szCs w:val="24"/>
              </w:rPr>
            </w:pPr>
            <w:r w:rsidRPr="002139DA">
              <w:rPr>
                <w:rFonts w:ascii="Tahoma" w:hAnsi="Tahoma" w:cs="Tahoma"/>
                <w:i/>
                <w:sz w:val="24"/>
                <w:szCs w:val="24"/>
              </w:rPr>
              <w:t>Arizona Teacher Certification</w:t>
            </w:r>
          </w:p>
          <w:p w:rsidR="00FE322F" w:rsidRPr="002139DA" w:rsidRDefault="00FE322F" w:rsidP="00FE322F">
            <w:pPr>
              <w:rPr>
                <w:rFonts w:ascii="Tahoma" w:hAnsi="Tahoma" w:cs="Tahoma"/>
                <w:sz w:val="24"/>
                <w:szCs w:val="24"/>
              </w:rPr>
            </w:pPr>
            <w:r w:rsidRPr="002139DA">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i/>
                <w:sz w:val="24"/>
                <w:szCs w:val="24"/>
              </w:rPr>
            </w:pPr>
            <w:r w:rsidRPr="002139DA">
              <w:rPr>
                <w:rFonts w:ascii="Tahoma" w:hAnsi="Tahoma" w:cs="Tahoma"/>
                <w:i/>
                <w:sz w:val="24"/>
                <w:szCs w:val="24"/>
              </w:rPr>
              <w:t>General Electives</w:t>
            </w:r>
          </w:p>
          <w:p w:rsidR="00FE322F" w:rsidRPr="002139DA" w:rsidRDefault="00FE322F" w:rsidP="00FE322F">
            <w:pPr>
              <w:rPr>
                <w:rFonts w:ascii="Tahoma" w:hAnsi="Tahoma" w:cs="Tahoma"/>
                <w:sz w:val="24"/>
                <w:szCs w:val="24"/>
              </w:rPr>
            </w:pPr>
            <w:r w:rsidRPr="002139DA">
              <w:rPr>
                <w:rFonts w:ascii="Tahoma" w:hAnsi="Tahoma" w:cs="Tahoma"/>
                <w:sz w:val="24"/>
                <w:szCs w:val="24"/>
              </w:rPr>
              <w:t xml:space="preserve">Additional coursework is required, if, after you have met the previously described requirements, you have not yet completed a total of 120 units of credit.  </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sz w:val="24"/>
                <w:szCs w:val="24"/>
              </w:rPr>
            </w:pPr>
            <w:r w:rsidRPr="002139DA">
              <w:rPr>
                <w:rFonts w:ascii="Tahoma" w:hAnsi="Tahoma" w:cs="Tahoma"/>
                <w:sz w:val="24"/>
                <w:szCs w:val="24"/>
              </w:rPr>
              <w:t xml:space="preserve">You may take these remaining courses from any academic areas, using these courses to pursue your specific interests and goals. We encourage </w:t>
            </w:r>
            <w:r w:rsidRPr="002139DA">
              <w:rPr>
                <w:rFonts w:ascii="Tahoma" w:hAnsi="Tahoma" w:cs="Tahoma"/>
                <w:sz w:val="24"/>
                <w:szCs w:val="24"/>
              </w:rPr>
              <w:lastRenderedPageBreak/>
              <w:t>you to consult with your advisor to select the courses that will be most advantageous to you. (Please note that you may also use prerequisites or transfer credits as electives if they weren't used to meet major, minor, or liberal studies requirements.)</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sz w:val="24"/>
                <w:szCs w:val="24"/>
              </w:rPr>
            </w:pPr>
            <w:r w:rsidRPr="002139DA">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FE322F" w:rsidRPr="002139DA" w:rsidRDefault="00FE322F" w:rsidP="00FE322F">
            <w:pPr>
              <w:rPr>
                <w:rFonts w:ascii="Tahoma" w:hAnsi="Tahoma" w:cs="Tahoma"/>
                <w:sz w:val="24"/>
                <w:szCs w:val="24"/>
              </w:rPr>
            </w:pPr>
          </w:p>
          <w:p w:rsidR="00FE322F" w:rsidRPr="002139DA" w:rsidRDefault="00FE322F" w:rsidP="00FE322F">
            <w:pPr>
              <w:rPr>
                <w:rFonts w:ascii="Tahoma" w:hAnsi="Tahoma" w:cs="Tahoma"/>
                <w:i/>
                <w:sz w:val="24"/>
                <w:szCs w:val="24"/>
              </w:rPr>
            </w:pPr>
            <w:r w:rsidRPr="002139DA">
              <w:rPr>
                <w:rFonts w:ascii="Tahoma" w:hAnsi="Tahoma" w:cs="Tahoma"/>
                <w:i/>
                <w:sz w:val="24"/>
                <w:szCs w:val="24"/>
              </w:rPr>
              <w:t>Additional Information</w:t>
            </w:r>
          </w:p>
          <w:p w:rsidR="00FE322F" w:rsidRPr="002139DA" w:rsidRDefault="00FE322F" w:rsidP="00FE322F">
            <w:pPr>
              <w:rPr>
                <w:rFonts w:ascii="Tahoma" w:hAnsi="Tahoma" w:cs="Tahoma"/>
                <w:sz w:val="24"/>
                <w:szCs w:val="24"/>
              </w:rPr>
            </w:pPr>
            <w:r w:rsidRPr="002139DA">
              <w:rPr>
                <w:rFonts w:ascii="Tahoma" w:hAnsi="Tahoma" w:cs="Tahoma"/>
                <w:sz w:val="24"/>
                <w:szCs w:val="24"/>
              </w:rPr>
              <w:t>You must have completed all of the coursework used to fulfill these requirements within the last 10 years.</w:t>
            </w:r>
          </w:p>
          <w:p w:rsidR="00FE322F" w:rsidRPr="002139DA" w:rsidRDefault="00FE322F" w:rsidP="00FE322F">
            <w:pPr>
              <w:rPr>
                <w:rFonts w:ascii="Tahoma" w:hAnsi="Tahoma" w:cs="Tahoma"/>
                <w:sz w:val="24"/>
                <w:szCs w:val="24"/>
              </w:rPr>
            </w:pPr>
          </w:p>
          <w:p w:rsidR="007C44F3" w:rsidRDefault="00FE322F" w:rsidP="00FE322F">
            <w:pPr>
              <w:rPr>
                <w:rFonts w:ascii="Tahoma" w:hAnsi="Tahoma" w:cs="Tahoma"/>
                <w:sz w:val="24"/>
                <w:szCs w:val="24"/>
              </w:rPr>
            </w:pPr>
            <w:r w:rsidRPr="002139DA">
              <w:rPr>
                <w:rFonts w:ascii="Tahoma" w:hAnsi="Tahoma" w:cs="Tahoma"/>
                <w:sz w:val="24"/>
                <w:szCs w:val="24"/>
              </w:rPr>
              <w:t>Be aware that some courses may have prerequisites that you must also take. For prerequisite information click on the course or see your advisor.</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2D351C" w:rsidRPr="002D351C" w:rsidRDefault="002D351C" w:rsidP="002D351C">
      <w:pPr>
        <w:shd w:val="clear" w:color="auto" w:fill="D9D9D9" w:themeFill="background1" w:themeFillShade="D9"/>
        <w:rPr>
          <w:rFonts w:ascii="Arial" w:hAnsi="Arial" w:cs="Arial"/>
          <w:b/>
          <w:sz w:val="24"/>
          <w:szCs w:val="24"/>
        </w:rPr>
      </w:pPr>
      <w:r w:rsidRPr="002D351C">
        <w:rPr>
          <w:rFonts w:ascii="Arial" w:hAnsi="Arial" w:cs="Arial"/>
          <w:b/>
          <w:sz w:val="24"/>
          <w:szCs w:val="24"/>
        </w:rPr>
        <w:t xml:space="preserve">The </w:t>
      </w:r>
      <w:r>
        <w:rPr>
          <w:rFonts w:ascii="Arial" w:hAnsi="Arial" w:cs="Arial"/>
          <w:b/>
          <w:sz w:val="24"/>
          <w:szCs w:val="24"/>
        </w:rPr>
        <w:t xml:space="preserve">“minimum </w:t>
      </w:r>
      <w:r w:rsidRPr="002D351C">
        <w:rPr>
          <w:rFonts w:ascii="Arial" w:hAnsi="Arial" w:cs="Arial"/>
          <w:b/>
          <w:sz w:val="24"/>
          <w:szCs w:val="24"/>
        </w:rPr>
        <w:t>2.5</w:t>
      </w:r>
      <w:r>
        <w:rPr>
          <w:rFonts w:ascii="Arial" w:hAnsi="Arial" w:cs="Arial"/>
          <w:b/>
          <w:sz w:val="24"/>
          <w:szCs w:val="24"/>
        </w:rPr>
        <w:t>0</w:t>
      </w:r>
      <w:r w:rsidRPr="002D351C">
        <w:rPr>
          <w:rFonts w:ascii="Arial" w:hAnsi="Arial" w:cs="Arial"/>
          <w:b/>
          <w:sz w:val="24"/>
          <w:szCs w:val="24"/>
        </w:rPr>
        <w:t xml:space="preserve"> liberal Studies GPA</w:t>
      </w:r>
      <w:r>
        <w:rPr>
          <w:rFonts w:ascii="Arial" w:hAnsi="Arial" w:cs="Arial"/>
          <w:b/>
          <w:sz w:val="24"/>
          <w:szCs w:val="24"/>
        </w:rPr>
        <w:t>”</w:t>
      </w:r>
      <w:r w:rsidRPr="002D351C">
        <w:rPr>
          <w:rFonts w:ascii="Arial" w:hAnsi="Arial" w:cs="Arial"/>
          <w:b/>
          <w:sz w:val="24"/>
          <w:szCs w:val="24"/>
        </w:rPr>
        <w:t xml:space="preserve"> requirement</w:t>
      </w:r>
      <w:r>
        <w:rPr>
          <w:rFonts w:ascii="Arial" w:hAnsi="Arial" w:cs="Arial"/>
          <w:b/>
          <w:sz w:val="24"/>
          <w:szCs w:val="24"/>
        </w:rPr>
        <w:t xml:space="preserve"> option </w:t>
      </w:r>
      <w:r w:rsidRPr="002D351C">
        <w:rPr>
          <w:rFonts w:ascii="Arial" w:hAnsi="Arial" w:cs="Arial"/>
          <w:b/>
          <w:sz w:val="24"/>
          <w:szCs w:val="24"/>
        </w:rPr>
        <w:t>originally applied to all B</w:t>
      </w:r>
      <w:r>
        <w:rPr>
          <w:rFonts w:ascii="Arial" w:hAnsi="Arial" w:cs="Arial"/>
          <w:b/>
          <w:sz w:val="24"/>
          <w:szCs w:val="24"/>
        </w:rPr>
        <w:t>.</w:t>
      </w:r>
      <w:r w:rsidRPr="002D351C">
        <w:rPr>
          <w:rFonts w:ascii="Arial" w:hAnsi="Arial" w:cs="Arial"/>
          <w:b/>
          <w:sz w:val="24"/>
          <w:szCs w:val="24"/>
        </w:rPr>
        <w:t>S</w:t>
      </w:r>
      <w:r>
        <w:rPr>
          <w:rFonts w:ascii="Arial" w:hAnsi="Arial" w:cs="Arial"/>
          <w:b/>
          <w:sz w:val="24"/>
          <w:szCs w:val="24"/>
        </w:rPr>
        <w:t>.</w:t>
      </w:r>
      <w:r w:rsidRPr="002D351C">
        <w:rPr>
          <w:rFonts w:ascii="Arial" w:hAnsi="Arial" w:cs="Arial"/>
          <w:b/>
          <w:sz w:val="24"/>
          <w:szCs w:val="24"/>
        </w:rPr>
        <w:t>Ed</w:t>
      </w:r>
      <w:r>
        <w:rPr>
          <w:rFonts w:ascii="Arial" w:hAnsi="Arial" w:cs="Arial"/>
          <w:b/>
          <w:sz w:val="24"/>
          <w:szCs w:val="24"/>
        </w:rPr>
        <w:t xml:space="preserve">. </w:t>
      </w:r>
      <w:r w:rsidRPr="002D351C">
        <w:rPr>
          <w:rFonts w:ascii="Arial" w:hAnsi="Arial" w:cs="Arial"/>
          <w:b/>
          <w:sz w:val="24"/>
          <w:szCs w:val="24"/>
        </w:rPr>
        <w:t>degree</w:t>
      </w:r>
      <w:r>
        <w:rPr>
          <w:rFonts w:ascii="Arial" w:hAnsi="Arial" w:cs="Arial"/>
          <w:b/>
          <w:sz w:val="24"/>
          <w:szCs w:val="24"/>
        </w:rPr>
        <w:t>s</w:t>
      </w:r>
      <w:r w:rsidRPr="002D351C">
        <w:rPr>
          <w:rFonts w:ascii="Arial" w:hAnsi="Arial" w:cs="Arial"/>
          <w:b/>
          <w:sz w:val="24"/>
          <w:szCs w:val="24"/>
        </w:rPr>
        <w:t xml:space="preserve"> at the university.  Since that time, the control of the secondary education plans has moved to the content area departments and we find that the requirement is now outdated and makes admission too lenient. </w:t>
      </w:r>
    </w:p>
    <w:p w:rsidR="002139DA" w:rsidRDefault="00A353DD" w:rsidP="00A353DD">
      <w:pPr>
        <w:shd w:val="clear" w:color="auto" w:fill="D9D9D9" w:themeFill="background1" w:themeFillShade="D9"/>
        <w:rPr>
          <w:rFonts w:ascii="Arial" w:hAnsi="Arial" w:cs="Arial"/>
          <w:b/>
          <w:color w:val="FF0000"/>
          <w:sz w:val="24"/>
          <w:szCs w:val="24"/>
        </w:rPr>
      </w:pPr>
      <w:r>
        <w:rPr>
          <w:rFonts w:ascii="Lucida Sans" w:hAnsi="Lucida Sans" w:cs="Arial"/>
          <w:b/>
          <w:sz w:val="24"/>
        </w:rPr>
        <w:t xml:space="preserve"> </w:t>
      </w:r>
    </w:p>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75FF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75FF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75FF4"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5"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875FF4">
        <w:rPr>
          <w:rFonts w:ascii="Arial" w:hAnsi="Arial" w:cs="Arial"/>
          <w:sz w:val="24"/>
          <w:szCs w:val="24"/>
        </w:rPr>
        <w:fldChar w:fldCharType="begin">
          <w:ffData>
            <w:name w:val=""/>
            <w:enabled/>
            <w:calcOnExit w:val="0"/>
            <w:checkBox>
              <w:sizeAuto/>
              <w:default w:val="0"/>
            </w:checkBox>
          </w:ffData>
        </w:fldChar>
      </w:r>
      <w:r w:rsidR="002139DA">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875FF4">
        <w:rPr>
          <w:rFonts w:ascii="Arial" w:hAnsi="Arial" w:cs="Arial"/>
          <w:sz w:val="24"/>
          <w:szCs w:val="24"/>
        </w:rPr>
        <w:fldChar w:fldCharType="begin">
          <w:ffData>
            <w:name w:val="Check5"/>
            <w:enabled/>
            <w:calcOnExit w:val="0"/>
            <w:checkBox>
              <w:sizeAuto/>
              <w:default w:val="1"/>
            </w:checkBox>
          </w:ffData>
        </w:fldChar>
      </w:r>
      <w:bookmarkStart w:id="3" w:name="Check5"/>
      <w:r w:rsidR="002139DA">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2139DA" w:rsidRDefault="002139DA" w:rsidP="008F62B2">
      <w:pPr>
        <w:shd w:val="clear" w:color="auto" w:fill="D9D9D9" w:themeFill="background1" w:themeFillShade="D9"/>
        <w:rPr>
          <w:rFonts w:ascii="Arial" w:hAnsi="Arial" w:cs="Arial"/>
          <w:sz w:val="24"/>
          <w:szCs w:val="24"/>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 xml:space="preserve">have 24 units of unique required </w:t>
      </w:r>
      <w:r>
        <w:rPr>
          <w:rFonts w:ascii="Arial" w:hAnsi="Arial" w:cs="Arial"/>
          <w:sz w:val="24"/>
          <w:szCs w:val="24"/>
        </w:rPr>
        <w:lastRenderedPageBreak/>
        <w:t>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75FF4">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Pr>
          <w:rFonts w:ascii="Arial" w:hAnsi="Arial" w:cs="Arial"/>
          <w:sz w:val="24"/>
          <w:szCs w:val="24"/>
        </w:rPr>
        <w:fldChar w:fldCharType="end"/>
      </w:r>
      <w:r w:rsidRPr="002B1A53">
        <w:rPr>
          <w:rFonts w:ascii="Arial" w:hAnsi="Arial" w:cs="Arial"/>
          <w:sz w:val="24"/>
          <w:szCs w:val="24"/>
        </w:rPr>
        <w:t xml:space="preserve">      No </w:t>
      </w:r>
      <w:r w:rsidR="00875FF4">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875FF4">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Pr>
          <w:rFonts w:ascii="Arial" w:hAnsi="Arial" w:cs="Arial"/>
          <w:sz w:val="24"/>
          <w:szCs w:val="24"/>
        </w:rPr>
        <w:fldChar w:fldCharType="end"/>
      </w:r>
      <w:r w:rsidRPr="002B1A53">
        <w:rPr>
          <w:rFonts w:ascii="Arial" w:hAnsi="Arial" w:cs="Arial"/>
          <w:sz w:val="24"/>
          <w:szCs w:val="24"/>
        </w:rPr>
        <w:t xml:space="preserve">      No </w:t>
      </w:r>
      <w:r w:rsidR="00875FF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2B1A53">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75FF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2B1A53">
        <w:rPr>
          <w:rFonts w:ascii="Arial" w:hAnsi="Arial" w:cs="Arial"/>
          <w:sz w:val="24"/>
          <w:szCs w:val="24"/>
        </w:rPr>
        <w:fldChar w:fldCharType="end"/>
      </w:r>
      <w:r w:rsidRPr="002B1A53">
        <w:rPr>
          <w:rFonts w:ascii="Arial" w:hAnsi="Arial" w:cs="Arial"/>
          <w:sz w:val="24"/>
          <w:szCs w:val="24"/>
        </w:rPr>
        <w:t xml:space="preserve">      No </w:t>
      </w:r>
      <w:r w:rsidR="00875FF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75FF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2B1A53">
        <w:rPr>
          <w:rFonts w:ascii="Arial" w:hAnsi="Arial" w:cs="Arial"/>
          <w:sz w:val="24"/>
          <w:szCs w:val="24"/>
        </w:rPr>
        <w:fldChar w:fldCharType="end"/>
      </w:r>
      <w:r w:rsidRPr="002B1A53">
        <w:rPr>
          <w:rFonts w:ascii="Arial" w:hAnsi="Arial" w:cs="Arial"/>
          <w:sz w:val="24"/>
          <w:szCs w:val="24"/>
        </w:rPr>
        <w:t xml:space="preserve">      No </w:t>
      </w:r>
      <w:r w:rsidR="00875FF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8C3C95" w:rsidP="00FF0A33">
            <w:pPr>
              <w:rPr>
                <w:rFonts w:ascii="Arial" w:hAnsi="Arial" w:cs="Arial"/>
                <w:b/>
                <w:sz w:val="24"/>
                <w:szCs w:val="24"/>
              </w:rPr>
            </w:pPr>
            <w:r>
              <w:rPr>
                <w:rFonts w:ascii="Arial" w:hAnsi="Arial" w:cs="Arial"/>
                <w:b/>
                <w:sz w:val="24"/>
                <w:szCs w:val="24"/>
              </w:rPr>
              <w:t>1</w:t>
            </w:r>
            <w:r w:rsidR="00FF0A33">
              <w:rPr>
                <w:rFonts w:ascii="Arial" w:hAnsi="Arial" w:cs="Arial"/>
                <w:b/>
                <w:sz w:val="24"/>
                <w:szCs w:val="24"/>
              </w:rPr>
              <w:t>1/18</w:t>
            </w:r>
            <w:r w:rsidR="007E7F00">
              <w:rPr>
                <w:rFonts w:ascii="Arial" w:hAnsi="Arial" w:cs="Arial"/>
                <w:b/>
                <w:sz w:val="24"/>
                <w:szCs w:val="24"/>
              </w:rPr>
              <w:t>/</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75F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r w:rsidRPr="00313AE8">
        <w:rPr>
          <w:rFonts w:ascii="Arial" w:hAnsi="Arial" w:cs="Arial"/>
          <w:sz w:val="24"/>
          <w:szCs w:val="24"/>
        </w:rPr>
        <w:t xml:space="preserve">     No  </w:t>
      </w:r>
      <w:r w:rsidR="00875F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75F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75F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75F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r w:rsidRPr="00313AE8">
        <w:rPr>
          <w:rFonts w:ascii="Arial" w:hAnsi="Arial" w:cs="Arial"/>
          <w:sz w:val="24"/>
          <w:szCs w:val="24"/>
        </w:rPr>
        <w:t xml:space="preserve">     No  </w:t>
      </w:r>
      <w:r w:rsidR="00875F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75FF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75FF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75FF4">
        <w:rPr>
          <w:rFonts w:ascii="Arial" w:hAnsi="Arial" w:cs="Arial"/>
          <w:sz w:val="24"/>
          <w:szCs w:val="24"/>
        </w:rPr>
      </w:r>
      <w:r w:rsidR="00875FF4">
        <w:rPr>
          <w:rFonts w:ascii="Arial" w:hAnsi="Arial" w:cs="Arial"/>
          <w:sz w:val="24"/>
          <w:szCs w:val="24"/>
        </w:rPr>
        <w:fldChar w:fldCharType="separate"/>
      </w:r>
      <w:r w:rsidR="00875FF4"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2F" w:rsidRDefault="00FE322F" w:rsidP="00233561">
      <w:r>
        <w:separator/>
      </w:r>
    </w:p>
  </w:endnote>
  <w:endnote w:type="continuationSeparator" w:id="0">
    <w:p w:rsidR="00FE322F" w:rsidRDefault="00FE322F"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Vladimir Script">
    <w:panose1 w:val="030504020404070703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2F" w:rsidRDefault="00875FF4">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FE322F">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2F" w:rsidRDefault="00FE322F" w:rsidP="00233561">
      <w:r>
        <w:separator/>
      </w:r>
    </w:p>
  </w:footnote>
  <w:footnote w:type="continuationSeparator" w:id="0">
    <w:p w:rsidR="00FE322F" w:rsidRDefault="00FE322F"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C2"/>
    <w:multiLevelType w:val="hybridMultilevel"/>
    <w:tmpl w:val="B80E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240CF"/>
    <w:multiLevelType w:val="hybridMultilevel"/>
    <w:tmpl w:val="ECB6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6056C"/>
    <w:multiLevelType w:val="hybridMultilevel"/>
    <w:tmpl w:val="AA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C05FA5"/>
    <w:multiLevelType w:val="hybridMultilevel"/>
    <w:tmpl w:val="F24E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225CA3"/>
    <w:multiLevelType w:val="hybridMultilevel"/>
    <w:tmpl w:val="3D9A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2617D6"/>
    <w:multiLevelType w:val="hybridMultilevel"/>
    <w:tmpl w:val="32A6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FE7AE9"/>
    <w:multiLevelType w:val="hybridMultilevel"/>
    <w:tmpl w:val="157E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AD56BB"/>
    <w:multiLevelType w:val="hybridMultilevel"/>
    <w:tmpl w:val="0D1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027ADB"/>
    <w:multiLevelType w:val="hybridMultilevel"/>
    <w:tmpl w:val="0EA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DB8"/>
    <w:multiLevelType w:val="hybridMultilevel"/>
    <w:tmpl w:val="9BD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D234F9"/>
    <w:multiLevelType w:val="hybridMultilevel"/>
    <w:tmpl w:val="F954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1646A7"/>
    <w:multiLevelType w:val="hybridMultilevel"/>
    <w:tmpl w:val="4B0E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BD7828"/>
    <w:multiLevelType w:val="hybridMultilevel"/>
    <w:tmpl w:val="BEA8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3C04BE"/>
    <w:multiLevelType w:val="hybridMultilevel"/>
    <w:tmpl w:val="10C4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E45334"/>
    <w:multiLevelType w:val="hybridMultilevel"/>
    <w:tmpl w:val="5102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CB76C5"/>
    <w:multiLevelType w:val="hybridMultilevel"/>
    <w:tmpl w:val="67E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66421F"/>
    <w:multiLevelType w:val="hybridMultilevel"/>
    <w:tmpl w:val="7B0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C70818"/>
    <w:multiLevelType w:val="hybridMultilevel"/>
    <w:tmpl w:val="7566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1"/>
  </w:num>
  <w:num w:numId="6">
    <w:abstractNumId w:val="18"/>
  </w:num>
  <w:num w:numId="7">
    <w:abstractNumId w:val="16"/>
  </w:num>
  <w:num w:numId="8">
    <w:abstractNumId w:val="13"/>
  </w:num>
  <w:num w:numId="9">
    <w:abstractNumId w:val="25"/>
  </w:num>
  <w:num w:numId="10">
    <w:abstractNumId w:val="17"/>
  </w:num>
  <w:num w:numId="11">
    <w:abstractNumId w:val="11"/>
  </w:num>
  <w:num w:numId="12">
    <w:abstractNumId w:val="27"/>
  </w:num>
  <w:num w:numId="13">
    <w:abstractNumId w:val="26"/>
  </w:num>
  <w:num w:numId="14">
    <w:abstractNumId w:val="19"/>
  </w:num>
  <w:num w:numId="15">
    <w:abstractNumId w:val="23"/>
  </w:num>
  <w:num w:numId="16">
    <w:abstractNumId w:val="7"/>
  </w:num>
  <w:num w:numId="17">
    <w:abstractNumId w:val="29"/>
  </w:num>
  <w:num w:numId="18">
    <w:abstractNumId w:val="0"/>
  </w:num>
  <w:num w:numId="19">
    <w:abstractNumId w:val="4"/>
  </w:num>
  <w:num w:numId="20">
    <w:abstractNumId w:val="28"/>
  </w:num>
  <w:num w:numId="21">
    <w:abstractNumId w:val="12"/>
  </w:num>
  <w:num w:numId="22">
    <w:abstractNumId w:val="2"/>
  </w:num>
  <w:num w:numId="23">
    <w:abstractNumId w:val="14"/>
  </w:num>
  <w:num w:numId="24">
    <w:abstractNumId w:val="22"/>
  </w:num>
  <w:num w:numId="25">
    <w:abstractNumId w:val="20"/>
  </w:num>
  <w:num w:numId="26">
    <w:abstractNumId w:val="9"/>
  </w:num>
  <w:num w:numId="27">
    <w:abstractNumId w:val="8"/>
  </w:num>
  <w:num w:numId="28">
    <w:abstractNumId w:val="15"/>
  </w:num>
  <w:num w:numId="29">
    <w:abstractNumId w:val="24"/>
  </w:num>
  <w:num w:numId="30">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12409"/>
    <w:rsid w:val="00013A16"/>
    <w:rsid w:val="00041842"/>
    <w:rsid w:val="000514D4"/>
    <w:rsid w:val="00051D13"/>
    <w:rsid w:val="00072E96"/>
    <w:rsid w:val="00076632"/>
    <w:rsid w:val="00083DF5"/>
    <w:rsid w:val="000A3ADE"/>
    <w:rsid w:val="000B284F"/>
    <w:rsid w:val="000B2CE9"/>
    <w:rsid w:val="000B6FEC"/>
    <w:rsid w:val="000C0A09"/>
    <w:rsid w:val="000D0D4F"/>
    <w:rsid w:val="00103A43"/>
    <w:rsid w:val="00111B8E"/>
    <w:rsid w:val="00123DB0"/>
    <w:rsid w:val="00126CE8"/>
    <w:rsid w:val="00147289"/>
    <w:rsid w:val="00147718"/>
    <w:rsid w:val="00167158"/>
    <w:rsid w:val="00193132"/>
    <w:rsid w:val="001A02A7"/>
    <w:rsid w:val="001D6A92"/>
    <w:rsid w:val="001E6D34"/>
    <w:rsid w:val="001F38E4"/>
    <w:rsid w:val="001F4726"/>
    <w:rsid w:val="00203C77"/>
    <w:rsid w:val="002139DA"/>
    <w:rsid w:val="00215DBD"/>
    <w:rsid w:val="00231555"/>
    <w:rsid w:val="00233561"/>
    <w:rsid w:val="0024086B"/>
    <w:rsid w:val="00241E16"/>
    <w:rsid w:val="00243B99"/>
    <w:rsid w:val="002547B5"/>
    <w:rsid w:val="00255F08"/>
    <w:rsid w:val="00261D99"/>
    <w:rsid w:val="00272AFE"/>
    <w:rsid w:val="00273036"/>
    <w:rsid w:val="00285116"/>
    <w:rsid w:val="00287DE0"/>
    <w:rsid w:val="0029348B"/>
    <w:rsid w:val="002A6916"/>
    <w:rsid w:val="002A7477"/>
    <w:rsid w:val="002B1A53"/>
    <w:rsid w:val="002B2123"/>
    <w:rsid w:val="002C3481"/>
    <w:rsid w:val="002D351C"/>
    <w:rsid w:val="002E4DC3"/>
    <w:rsid w:val="002F4C9B"/>
    <w:rsid w:val="003127B9"/>
    <w:rsid w:val="00332F9A"/>
    <w:rsid w:val="0034234E"/>
    <w:rsid w:val="00350A98"/>
    <w:rsid w:val="003840CC"/>
    <w:rsid w:val="00395A55"/>
    <w:rsid w:val="003A6967"/>
    <w:rsid w:val="003B3D06"/>
    <w:rsid w:val="003C5A83"/>
    <w:rsid w:val="003D017F"/>
    <w:rsid w:val="003D4C28"/>
    <w:rsid w:val="003E0989"/>
    <w:rsid w:val="00400980"/>
    <w:rsid w:val="00403885"/>
    <w:rsid w:val="00411128"/>
    <w:rsid w:val="00416488"/>
    <w:rsid w:val="00440707"/>
    <w:rsid w:val="004652CE"/>
    <w:rsid w:val="004839A5"/>
    <w:rsid w:val="004875E5"/>
    <w:rsid w:val="004A4315"/>
    <w:rsid w:val="004A4CD5"/>
    <w:rsid w:val="004C354D"/>
    <w:rsid w:val="004D2D69"/>
    <w:rsid w:val="004F2F7E"/>
    <w:rsid w:val="004F3222"/>
    <w:rsid w:val="004F7394"/>
    <w:rsid w:val="00523703"/>
    <w:rsid w:val="00527409"/>
    <w:rsid w:val="00534969"/>
    <w:rsid w:val="00552434"/>
    <w:rsid w:val="00566D62"/>
    <w:rsid w:val="005735CD"/>
    <w:rsid w:val="00573768"/>
    <w:rsid w:val="0058038B"/>
    <w:rsid w:val="00585A6B"/>
    <w:rsid w:val="005B29BE"/>
    <w:rsid w:val="005C15AE"/>
    <w:rsid w:val="005C7D6A"/>
    <w:rsid w:val="005E15CA"/>
    <w:rsid w:val="005E4D2D"/>
    <w:rsid w:val="005F2112"/>
    <w:rsid w:val="0060539F"/>
    <w:rsid w:val="0062365E"/>
    <w:rsid w:val="006318C8"/>
    <w:rsid w:val="0065207F"/>
    <w:rsid w:val="00653D6E"/>
    <w:rsid w:val="006774DA"/>
    <w:rsid w:val="006A1870"/>
    <w:rsid w:val="006B4C4E"/>
    <w:rsid w:val="006C069B"/>
    <w:rsid w:val="006C5A6A"/>
    <w:rsid w:val="006C7348"/>
    <w:rsid w:val="006D578A"/>
    <w:rsid w:val="006F14EB"/>
    <w:rsid w:val="006F3249"/>
    <w:rsid w:val="006F5C24"/>
    <w:rsid w:val="006F5FFA"/>
    <w:rsid w:val="00700C15"/>
    <w:rsid w:val="00711AC4"/>
    <w:rsid w:val="00716214"/>
    <w:rsid w:val="0071649B"/>
    <w:rsid w:val="00716ABB"/>
    <w:rsid w:val="007206EC"/>
    <w:rsid w:val="00734853"/>
    <w:rsid w:val="00753AFA"/>
    <w:rsid w:val="00761DF6"/>
    <w:rsid w:val="0077023D"/>
    <w:rsid w:val="007736E9"/>
    <w:rsid w:val="007A1110"/>
    <w:rsid w:val="007A45A6"/>
    <w:rsid w:val="007A7458"/>
    <w:rsid w:val="007B003E"/>
    <w:rsid w:val="007B5DBB"/>
    <w:rsid w:val="007C44F3"/>
    <w:rsid w:val="007D1975"/>
    <w:rsid w:val="007E7F00"/>
    <w:rsid w:val="007F2808"/>
    <w:rsid w:val="008003FA"/>
    <w:rsid w:val="00811C35"/>
    <w:rsid w:val="00824A66"/>
    <w:rsid w:val="00845F8F"/>
    <w:rsid w:val="008506C2"/>
    <w:rsid w:val="00875FF4"/>
    <w:rsid w:val="00893A71"/>
    <w:rsid w:val="00893E23"/>
    <w:rsid w:val="008A03E0"/>
    <w:rsid w:val="008B3ACA"/>
    <w:rsid w:val="008C3C95"/>
    <w:rsid w:val="008F40EF"/>
    <w:rsid w:val="008F62B2"/>
    <w:rsid w:val="00910769"/>
    <w:rsid w:val="009213C1"/>
    <w:rsid w:val="00960F51"/>
    <w:rsid w:val="00967B62"/>
    <w:rsid w:val="009857E6"/>
    <w:rsid w:val="00990069"/>
    <w:rsid w:val="009B3091"/>
    <w:rsid w:val="009B3949"/>
    <w:rsid w:val="009C0D72"/>
    <w:rsid w:val="009C1083"/>
    <w:rsid w:val="009C75F7"/>
    <w:rsid w:val="009F0BFA"/>
    <w:rsid w:val="009F5529"/>
    <w:rsid w:val="00A1362C"/>
    <w:rsid w:val="00A16660"/>
    <w:rsid w:val="00A22AC3"/>
    <w:rsid w:val="00A353DD"/>
    <w:rsid w:val="00A45E05"/>
    <w:rsid w:val="00A6388B"/>
    <w:rsid w:val="00A844CC"/>
    <w:rsid w:val="00A9284E"/>
    <w:rsid w:val="00AB7DBA"/>
    <w:rsid w:val="00AD38D2"/>
    <w:rsid w:val="00AD50F2"/>
    <w:rsid w:val="00AD6D73"/>
    <w:rsid w:val="00AF04DF"/>
    <w:rsid w:val="00B31069"/>
    <w:rsid w:val="00B6444D"/>
    <w:rsid w:val="00B72D48"/>
    <w:rsid w:val="00B841EA"/>
    <w:rsid w:val="00BA6B8A"/>
    <w:rsid w:val="00C32DE8"/>
    <w:rsid w:val="00C34789"/>
    <w:rsid w:val="00C3660C"/>
    <w:rsid w:val="00C42CC0"/>
    <w:rsid w:val="00C4605D"/>
    <w:rsid w:val="00C6101A"/>
    <w:rsid w:val="00C61F9F"/>
    <w:rsid w:val="00C839F9"/>
    <w:rsid w:val="00CA6369"/>
    <w:rsid w:val="00CD3DF5"/>
    <w:rsid w:val="00CD7A67"/>
    <w:rsid w:val="00CE10AB"/>
    <w:rsid w:val="00CE4E0C"/>
    <w:rsid w:val="00CF30DD"/>
    <w:rsid w:val="00D04F3E"/>
    <w:rsid w:val="00D1166C"/>
    <w:rsid w:val="00D27B18"/>
    <w:rsid w:val="00D444DD"/>
    <w:rsid w:val="00D513EB"/>
    <w:rsid w:val="00D928DB"/>
    <w:rsid w:val="00DA02C7"/>
    <w:rsid w:val="00DA53D9"/>
    <w:rsid w:val="00DA7328"/>
    <w:rsid w:val="00DC4671"/>
    <w:rsid w:val="00DD1AD9"/>
    <w:rsid w:val="00DD5799"/>
    <w:rsid w:val="00DE2863"/>
    <w:rsid w:val="00DF54BC"/>
    <w:rsid w:val="00DF6505"/>
    <w:rsid w:val="00E215D7"/>
    <w:rsid w:val="00E30D0E"/>
    <w:rsid w:val="00E31D55"/>
    <w:rsid w:val="00E3390A"/>
    <w:rsid w:val="00E54917"/>
    <w:rsid w:val="00E635F3"/>
    <w:rsid w:val="00E70000"/>
    <w:rsid w:val="00E81838"/>
    <w:rsid w:val="00E84073"/>
    <w:rsid w:val="00E93E74"/>
    <w:rsid w:val="00EA29B6"/>
    <w:rsid w:val="00EC2F62"/>
    <w:rsid w:val="00ED51F1"/>
    <w:rsid w:val="00EE2807"/>
    <w:rsid w:val="00F125FF"/>
    <w:rsid w:val="00F1711F"/>
    <w:rsid w:val="00F33E64"/>
    <w:rsid w:val="00F42CD4"/>
    <w:rsid w:val="00F53D53"/>
    <w:rsid w:val="00F54A7C"/>
    <w:rsid w:val="00F570EA"/>
    <w:rsid w:val="00F83EA6"/>
    <w:rsid w:val="00F87891"/>
    <w:rsid w:val="00FB6160"/>
    <w:rsid w:val="00FE322F"/>
    <w:rsid w:val="00FF0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2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832791864">
      <w:bodyDiv w:val="1"/>
      <w:marLeft w:val="0"/>
      <w:marRight w:val="0"/>
      <w:marTop w:val="0"/>
      <w:marBottom w:val="0"/>
      <w:divBdr>
        <w:top w:val="none" w:sz="0" w:space="0" w:color="auto"/>
        <w:left w:val="none" w:sz="0" w:space="0" w:color="auto"/>
        <w:bottom w:val="none" w:sz="0" w:space="0" w:color="auto"/>
        <w:right w:val="none" w:sz="0" w:space="0" w:color="auto"/>
      </w:divBdr>
    </w:div>
    <w:div w:id="882907351">
      <w:bodyDiv w:val="1"/>
      <w:marLeft w:val="0"/>
      <w:marRight w:val="0"/>
      <w:marTop w:val="0"/>
      <w:marBottom w:val="0"/>
      <w:divBdr>
        <w:top w:val="none" w:sz="0" w:space="0" w:color="auto"/>
        <w:left w:val="none" w:sz="0" w:space="0" w:color="auto"/>
        <w:bottom w:val="none" w:sz="0" w:space="0" w:color="auto"/>
        <w:right w:val="none" w:sz="0" w:space="0" w:color="auto"/>
      </w:divBdr>
    </w:div>
    <w:div w:id="968783443">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73881609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10" Type="http://schemas.openxmlformats.org/officeDocument/2006/relationships/hyperlink" Target="http://www.nau.edu/gradcol/UGC/UGC_FastTrack_Policy&amp;Process.pdf"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AEF6A-8AB5-4F4D-9D92-B2AD6665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cp:lastPrinted>2013-08-26T23:35:00Z</cp:lastPrinted>
  <dcterms:created xsi:type="dcterms:W3CDTF">2013-09-06T16:23:00Z</dcterms:created>
  <dcterms:modified xsi:type="dcterms:W3CDTF">2013-11-18T19:05:00Z</dcterms:modified>
</cp:coreProperties>
</file>