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44CAC"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F00CEC">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B53666" w:rsidP="00C421AD">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576921" w:rsidP="00B53666">
            <w:pPr>
              <w:rPr>
                <w:rFonts w:ascii="Arial" w:hAnsi="Arial" w:cs="Arial"/>
                <w:b/>
                <w:sz w:val="24"/>
                <w:szCs w:val="24"/>
              </w:rPr>
            </w:pPr>
            <w:r>
              <w:rPr>
                <w:rFonts w:ascii="Arial" w:hAnsi="Arial" w:cs="Arial"/>
                <w:b/>
                <w:sz w:val="24"/>
                <w:szCs w:val="24"/>
              </w:rPr>
              <w:t>A</w:t>
            </w:r>
            <w:r w:rsidR="00B53666">
              <w:rPr>
                <w:rFonts w:ascii="Arial" w:hAnsi="Arial" w:cs="Arial"/>
                <w:b/>
                <w:sz w:val="24"/>
                <w:szCs w:val="24"/>
              </w:rPr>
              <w:t>pplied Indigenous Studies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B53666" w:rsidP="00802F61">
            <w:pPr>
              <w:rPr>
                <w:rFonts w:ascii="Arial" w:hAnsi="Arial" w:cs="Arial"/>
                <w:b/>
                <w:sz w:val="24"/>
                <w:szCs w:val="24"/>
              </w:rPr>
            </w:pPr>
            <w:r>
              <w:rPr>
                <w:rFonts w:ascii="Arial" w:hAnsi="Arial" w:cs="Arial"/>
                <w:b/>
                <w:sz w:val="24"/>
                <w:szCs w:val="24"/>
              </w:rPr>
              <w:t>Applied Indigenous Studies; B.</w:t>
            </w:r>
            <w:r w:rsidR="00802F61">
              <w:rPr>
                <w:rFonts w:ascii="Arial" w:hAnsi="Arial" w:cs="Arial"/>
                <w:b/>
                <w:sz w:val="24"/>
                <w:szCs w:val="24"/>
              </w:rPr>
              <w:t>S</w:t>
            </w:r>
            <w:r>
              <w:rPr>
                <w:rFonts w:ascii="Arial" w:hAnsi="Arial" w:cs="Arial"/>
                <w:b/>
                <w:sz w:val="24"/>
                <w:szCs w:val="24"/>
              </w:rPr>
              <w:t xml:space="preserve">. </w:t>
            </w:r>
            <w:r w:rsidR="000F4823" w:rsidRPr="00AB49C0">
              <w:rPr>
                <w:rFonts w:ascii="Arial" w:hAnsi="Arial" w:cs="Arial"/>
                <w:b/>
                <w:sz w:val="24"/>
                <w:szCs w:val="24"/>
              </w:rPr>
              <w:t>(</w:t>
            </w:r>
            <w:r>
              <w:rPr>
                <w:rFonts w:ascii="Arial" w:hAnsi="Arial" w:cs="Arial"/>
                <w:b/>
                <w:sz w:val="24"/>
                <w:szCs w:val="24"/>
              </w:rPr>
              <w:t>AISB</w:t>
            </w:r>
            <w:r w:rsidR="00802F61">
              <w:rPr>
                <w:rFonts w:ascii="Arial" w:hAnsi="Arial" w:cs="Arial"/>
                <w:b/>
                <w:sz w:val="24"/>
                <w:szCs w:val="24"/>
              </w:rPr>
              <w:t>S</w:t>
            </w:r>
            <w:r w:rsidR="000F4823" w:rsidRPr="00AB49C0">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44CAC"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44CAC"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44CAC"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44CAC"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57692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44CA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7F2C66" w:rsidRDefault="007F2C66" w:rsidP="00F570EA">
            <w:pPr>
              <w:rPr>
                <w:rFonts w:ascii="Arial" w:hAnsi="Arial" w:cs="Arial"/>
                <w:b/>
                <w:sz w:val="24"/>
                <w:szCs w:val="24"/>
              </w:rPr>
            </w:pPr>
          </w:p>
          <w:p w:rsidR="007F2C66" w:rsidRPr="007F2C66" w:rsidRDefault="007F2C66" w:rsidP="007F2C66">
            <w:pPr>
              <w:pStyle w:val="Default"/>
              <w:numPr>
                <w:ilvl w:val="0"/>
                <w:numId w:val="27"/>
              </w:numPr>
              <w:ind w:left="360"/>
              <w:rPr>
                <w:rFonts w:ascii="Arial" w:hAnsi="Arial" w:cs="Arial"/>
              </w:rPr>
            </w:pPr>
            <w:r w:rsidRPr="007F2C66">
              <w:rPr>
                <w:rFonts w:ascii="Arial" w:hAnsi="Arial" w:cs="Arial"/>
              </w:rPr>
              <w:t xml:space="preserve">Students will be able to demonstrate understanding and the application of indigenous sovereignty, self-determination, and nation-building. </w:t>
            </w:r>
          </w:p>
          <w:p w:rsidR="007F2C66" w:rsidRPr="007F2C66" w:rsidRDefault="007F2C66" w:rsidP="007F2C66">
            <w:pPr>
              <w:pStyle w:val="Default"/>
              <w:numPr>
                <w:ilvl w:val="0"/>
                <w:numId w:val="27"/>
              </w:numPr>
              <w:ind w:left="360"/>
              <w:rPr>
                <w:rFonts w:ascii="Arial" w:hAnsi="Arial" w:cs="Arial"/>
              </w:rPr>
            </w:pPr>
            <w:r w:rsidRPr="007F2C66">
              <w:rPr>
                <w:rFonts w:ascii="Arial" w:hAnsi="Arial" w:cs="Arial"/>
              </w:rPr>
              <w:t xml:space="preserve">Within the American experience, students will be able to describe and understand the powers and opportunities of tribal governments in working with federal and state governments. </w:t>
            </w:r>
          </w:p>
          <w:p w:rsidR="007F2C66" w:rsidRPr="007F2C66" w:rsidRDefault="007F2C66" w:rsidP="007F2C66">
            <w:pPr>
              <w:pStyle w:val="Default"/>
              <w:numPr>
                <w:ilvl w:val="0"/>
                <w:numId w:val="26"/>
              </w:numPr>
              <w:ind w:left="360"/>
              <w:rPr>
                <w:rFonts w:ascii="Arial" w:hAnsi="Arial" w:cs="Arial"/>
              </w:rPr>
            </w:pPr>
            <w:r w:rsidRPr="007F2C66">
              <w:rPr>
                <w:rFonts w:ascii="Arial" w:hAnsi="Arial" w:cs="Arial"/>
              </w:rPr>
              <w:t xml:space="preserve">Students will be able to understand and </w:t>
            </w:r>
            <w:r w:rsidRPr="007F2C66">
              <w:rPr>
                <w:rFonts w:ascii="Arial" w:hAnsi="Arial" w:cs="Arial"/>
              </w:rPr>
              <w:lastRenderedPageBreak/>
              <w:t xml:space="preserve">apply the concepts of colonization; the historical, political, and economic contexts of colonization and the various impacts on indigenous peoples in North America, Latin America, and New Zealand. </w:t>
            </w:r>
          </w:p>
          <w:p w:rsidR="004F3222" w:rsidRPr="00AB49C0"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944CAC" w:rsidP="0065207F">
            <w:pPr>
              <w:pStyle w:val="Heading3"/>
              <w:spacing w:line="260" w:lineRule="auto"/>
              <w:outlineLvl w:val="2"/>
              <w:rPr>
                <w:rFonts w:ascii="Arial" w:hAnsi="Arial" w:cs="Arial"/>
                <w:szCs w:val="24"/>
              </w:rPr>
            </w:pPr>
            <w:r w:rsidRPr="00944CAC">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44E1F" w:rsidRPr="005821C8" w:rsidRDefault="00A44E1F"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802F61" w:rsidP="000F4823">
            <w:pPr>
              <w:pStyle w:val="Heading4"/>
              <w:outlineLvl w:val="3"/>
              <w:rPr>
                <w:rFonts w:ascii="Tahoma" w:hAnsi="Tahoma" w:cs="Tahoma"/>
                <w:sz w:val="24"/>
                <w:szCs w:val="24"/>
              </w:rPr>
            </w:pPr>
            <w:r>
              <w:rPr>
                <w:rFonts w:ascii="Tahoma" w:hAnsi="Tahoma" w:cs="Tahoma"/>
                <w:sz w:val="24"/>
                <w:szCs w:val="24"/>
              </w:rPr>
              <w:t>Applied Indigenous Studies; B.S</w:t>
            </w:r>
            <w:r w:rsidR="00B53666">
              <w:rPr>
                <w:rFonts w:ascii="Tahoma" w:hAnsi="Tahoma" w:cs="Tahoma"/>
                <w:sz w:val="24"/>
                <w:szCs w:val="24"/>
              </w:rPr>
              <w:t>.</w:t>
            </w:r>
            <w:r w:rsidR="00576921">
              <w:rPr>
                <w:rFonts w:ascii="Tahoma" w:hAnsi="Tahoma" w:cs="Tahoma"/>
                <w:sz w:val="24"/>
                <w:szCs w:val="24"/>
              </w:rPr>
              <w:t xml:space="preserve"> </w:t>
            </w:r>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802F61" w:rsidRPr="00802F61" w:rsidRDefault="00802F61" w:rsidP="00802F61">
            <w:pPr>
              <w:rPr>
                <w:rFonts w:ascii="Tahoma" w:hAnsi="Tahoma" w:cs="Tahoma"/>
                <w:sz w:val="24"/>
                <w:szCs w:val="24"/>
              </w:rPr>
            </w:pPr>
            <w:r w:rsidRPr="00802F61">
              <w:rPr>
                <w:rFonts w:ascii="Tahoma" w:hAnsi="Tahoma" w:cs="Tahoma"/>
                <w:sz w:val="24"/>
                <w:szCs w:val="24"/>
              </w:rPr>
              <w:t>In addition to University Requirements:</w:t>
            </w:r>
          </w:p>
          <w:p w:rsidR="00802F61" w:rsidRPr="00802F61" w:rsidRDefault="00802F61" w:rsidP="00802F61">
            <w:pPr>
              <w:rPr>
                <w:rFonts w:ascii="Tahoma" w:hAnsi="Tahoma" w:cs="Tahoma"/>
                <w:sz w:val="24"/>
                <w:szCs w:val="24"/>
              </w:rPr>
            </w:pP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At least 42 units of major requirements</w:t>
            </w: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At least 18 units of minor requirements</w:t>
            </w: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Be aware that you may not use courses with an AIS prefix to satisfy liberal studies requirements</w:t>
            </w: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Elective courses, if needed, to reach an overall total of at least 120 units</w:t>
            </w:r>
          </w:p>
          <w:p w:rsidR="00802F61" w:rsidRPr="00802F61" w:rsidRDefault="00802F61" w:rsidP="00802F61">
            <w:pPr>
              <w:rPr>
                <w:rFonts w:ascii="Tahoma" w:hAnsi="Tahoma" w:cs="Tahoma"/>
                <w:sz w:val="24"/>
                <w:szCs w:val="24"/>
              </w:rPr>
            </w:pPr>
          </w:p>
          <w:p w:rsidR="00B53666" w:rsidRDefault="00802F61" w:rsidP="00802F61">
            <w:pPr>
              <w:rPr>
                <w:rFonts w:ascii="Tahoma" w:hAnsi="Tahoma" w:cs="Tahoma"/>
                <w:sz w:val="24"/>
                <w:szCs w:val="24"/>
              </w:rPr>
            </w:pPr>
            <w:r w:rsidRPr="00802F61">
              <w:rPr>
                <w:rFonts w:ascii="Tahoma" w:hAnsi="Tahoma" w:cs="Tahoma"/>
                <w:sz w:val="24"/>
                <w:szCs w:val="24"/>
              </w:rPr>
              <w:t>Please note that you may be able to use some courses to meet more than one requirement. Contact your advisor for details.</w:t>
            </w:r>
          </w:p>
          <w:p w:rsidR="00802F61" w:rsidRDefault="00802F61" w:rsidP="00802F61">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802F61" w:rsidRPr="00B53666" w:rsidTr="00802F61">
              <w:trPr>
                <w:tblHeade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Minimum Units for Completion</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120</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GPA</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C</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Mathematics Required</w:t>
                  </w:r>
                </w:p>
              </w:tc>
              <w:tc>
                <w:tcPr>
                  <w:tcW w:w="2776" w:type="dxa"/>
                  <w:vAlign w:val="center"/>
                  <w:hideMark/>
                </w:tcPr>
                <w:p w:rsidR="00802F61" w:rsidRPr="00B53666" w:rsidRDefault="00944CAC" w:rsidP="00802F61">
                  <w:pPr>
                    <w:rPr>
                      <w:rFonts w:ascii="Tahoma" w:hAnsi="Tahoma" w:cs="Tahoma"/>
                      <w:sz w:val="16"/>
                      <w:szCs w:val="16"/>
                    </w:rPr>
                  </w:pPr>
                  <w:hyperlink r:id="rId12" w:tgtFrame="_blank" w:history="1">
                    <w:r w:rsidR="00802F61" w:rsidRPr="00B53666">
                      <w:rPr>
                        <w:rStyle w:val="Hyperlink"/>
                        <w:rFonts w:ascii="Tahoma" w:hAnsi="Tahoma" w:cs="Tahoma"/>
                        <w:sz w:val="16"/>
                        <w:szCs w:val="16"/>
                      </w:rPr>
                      <w:t>MAT 114</w:t>
                    </w:r>
                  </w:hyperlink>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Emphasis, Minor, Certificate</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Required</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Foreign Language</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Required</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Fieldwork Experience/Internship</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Required</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University Honors Program</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Optional</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Progression Plan</w:t>
                  </w:r>
                </w:p>
              </w:tc>
              <w:tc>
                <w:tcPr>
                  <w:tcW w:w="2776" w:type="dxa"/>
                  <w:vAlign w:val="center"/>
                  <w:hideMark/>
                </w:tcPr>
                <w:p w:rsidR="00802F61" w:rsidRPr="00B53666" w:rsidRDefault="00944CAC" w:rsidP="00802F61">
                  <w:pPr>
                    <w:rPr>
                      <w:rFonts w:ascii="Tahoma" w:hAnsi="Tahoma" w:cs="Tahoma"/>
                      <w:sz w:val="16"/>
                      <w:szCs w:val="16"/>
                    </w:rPr>
                  </w:pPr>
                  <w:hyperlink r:id="rId13" w:anchor="AISBA" w:tgtFrame="_blank" w:history="1">
                    <w:r w:rsidR="00802F61" w:rsidRPr="00B53666">
                      <w:rPr>
                        <w:rStyle w:val="Hyperlink"/>
                        <w:rFonts w:ascii="Tahoma" w:hAnsi="Tahoma" w:cs="Tahoma"/>
                        <w:sz w:val="16"/>
                        <w:szCs w:val="16"/>
                      </w:rPr>
                      <w:t>View Progression Plan</w:t>
                    </w:r>
                  </w:hyperlink>
                </w:p>
              </w:tc>
            </w:tr>
          </w:tbl>
          <w:p w:rsid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Major Requirements</w:t>
            </w:r>
          </w:p>
          <w:p w:rsidR="00802F61" w:rsidRPr="00802F61" w:rsidRDefault="00802F61" w:rsidP="00802F61">
            <w:pPr>
              <w:rPr>
                <w:rFonts w:ascii="Tahoma" w:hAnsi="Tahoma" w:cs="Tahoma"/>
                <w:sz w:val="24"/>
                <w:szCs w:val="24"/>
              </w:rPr>
            </w:pPr>
            <w:r w:rsidRPr="00802F61">
              <w:rPr>
                <w:rFonts w:ascii="Tahoma" w:hAnsi="Tahoma" w:cs="Tahoma"/>
                <w:sz w:val="24"/>
                <w:szCs w:val="24"/>
              </w:rPr>
              <w:t>Take the following 42 units with a Grade of "C" or better in each course:</w:t>
            </w:r>
          </w:p>
          <w:p w:rsidR="00802F61" w:rsidRPr="00802F61" w:rsidRDefault="00802F61" w:rsidP="00802F61">
            <w:pPr>
              <w:rPr>
                <w:rFonts w:ascii="Tahoma" w:hAnsi="Tahoma" w:cs="Tahoma"/>
                <w:sz w:val="24"/>
                <w:szCs w:val="24"/>
              </w:rPr>
            </w:pPr>
            <w:r w:rsidRPr="00802F61">
              <w:rPr>
                <w:rFonts w:ascii="Tahoma" w:hAnsi="Tahoma" w:cs="Tahoma"/>
                <w:sz w:val="24"/>
                <w:szCs w:val="24"/>
              </w:rPr>
              <w:t>Core Courses</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AIS 101, AIS 201, AIS 202, AIS 210, AIS 301W, AIS 304, AIS 350, AIS 404, AIS 408, AIS 490C (30 units)</w:t>
            </w:r>
          </w:p>
          <w:p w:rsidR="007C6C6E" w:rsidRPr="00B53666" w:rsidRDefault="007C6C6E" w:rsidP="007C6C6E">
            <w:pPr>
              <w:rPr>
                <w:rFonts w:ascii="Tahoma" w:hAnsi="Tahoma" w:cs="Tahoma"/>
                <w:sz w:val="24"/>
                <w:szCs w:val="24"/>
              </w:rPr>
            </w:pPr>
            <w:r w:rsidRPr="00B53666">
              <w:rPr>
                <w:rFonts w:ascii="Tahoma" w:hAnsi="Tahoma" w:cs="Tahoma"/>
                <w:sz w:val="24"/>
                <w:szCs w:val="24"/>
              </w:rPr>
              <w:t xml:space="preserve">Select </w:t>
            </w:r>
            <w:r>
              <w:rPr>
                <w:rFonts w:ascii="Tahoma" w:hAnsi="Tahoma" w:cs="Tahoma"/>
                <w:sz w:val="24"/>
                <w:szCs w:val="24"/>
              </w:rPr>
              <w:t xml:space="preserve">courses </w:t>
            </w:r>
            <w:r w:rsidRPr="00B53666">
              <w:rPr>
                <w:rFonts w:ascii="Tahoma" w:hAnsi="Tahoma" w:cs="Tahoma"/>
                <w:sz w:val="24"/>
                <w:szCs w:val="24"/>
              </w:rPr>
              <w:t>from the following, with no more than 4 units in any one course prefix (12 units):</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AIS 230, AIS 232, AIS 290, AIS 395, AIS 450, AIS 470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AIS 320 or POS 320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ANT 205, ANT 301, ANT 303, ANT 306, ANT 351, ANT 365, ANT 406, ANT 460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ARH 145</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BIO 479</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lastRenderedPageBreak/>
              <w:t>CCJ 415</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COM 301</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CST 323, CST 477</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ES 191, ES 215, ES 356</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FOR 270, FOR 370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HIS 280, HIS 293, HIS 368, HIS 380, HIS 381, HIS 385, HIS 386, HIS 413</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NAV 101, NAV 102, NAV 201, NAV 202, NAV 303, NAV 304W, NAV 311, NAV 312, NAV 321, NAV 405, NAV 406</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REL 201, REL 380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SOC 315</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Other courses approved by the department chair</w:t>
            </w:r>
          </w:p>
          <w:p w:rsidR="00802F61" w:rsidRPr="00802F61" w:rsidRDefault="00802F61" w:rsidP="00802F61">
            <w:pPr>
              <w:rPr>
                <w:rFonts w:ascii="Tahoma" w:hAnsi="Tahoma" w:cs="Tahoma"/>
                <w:sz w:val="24"/>
                <w:szCs w:val="24"/>
              </w:rPr>
            </w:pPr>
            <w:r w:rsidRPr="00802F61">
              <w:rPr>
                <w:rFonts w:ascii="Tahoma" w:hAnsi="Tahoma" w:cs="Tahoma"/>
                <w:sz w:val="24"/>
                <w:szCs w:val="24"/>
              </w:rPr>
              <w:t>Interest Areas</w:t>
            </w:r>
          </w:p>
          <w:p w:rsidR="00802F61" w:rsidRPr="00802F61" w:rsidRDefault="00802F61" w:rsidP="00802F61">
            <w:pPr>
              <w:rPr>
                <w:rFonts w:ascii="Tahoma" w:hAnsi="Tahoma" w:cs="Tahoma"/>
                <w:sz w:val="24"/>
                <w:szCs w:val="24"/>
              </w:rPr>
            </w:pPr>
            <w:r w:rsidRPr="00802F61">
              <w:rPr>
                <w:rFonts w:ascii="Tahoma" w:hAnsi="Tahoma" w:cs="Tahoma"/>
                <w:sz w:val="24"/>
                <w:szCs w:val="24"/>
              </w:rPr>
              <w:t>Students with particular areas of interest in the following areas should work with their advisor to select courses in support of that area of interest:</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Tribal policy, politics and administration</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Indigenous environmental and human health sciences, policy and management</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Cultural resource management and Indigenous knowledge</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Sustainable community economic developmental and indigenous entrepreneurship</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Minor Requirements</w:t>
            </w:r>
          </w:p>
          <w:p w:rsidR="00802F61" w:rsidRPr="00802F61" w:rsidRDefault="00802F61" w:rsidP="00802F61">
            <w:pPr>
              <w:rPr>
                <w:rFonts w:ascii="Tahoma" w:hAnsi="Tahoma" w:cs="Tahoma"/>
                <w:sz w:val="24"/>
                <w:szCs w:val="24"/>
              </w:rPr>
            </w:pPr>
            <w:r w:rsidRPr="00802F61">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General Electives</w:t>
            </w:r>
          </w:p>
          <w:p w:rsidR="00802F61" w:rsidRPr="00802F61" w:rsidRDefault="00802F61" w:rsidP="00802F61">
            <w:pPr>
              <w:rPr>
                <w:rFonts w:ascii="Tahoma" w:hAnsi="Tahoma" w:cs="Tahoma"/>
                <w:sz w:val="24"/>
                <w:szCs w:val="24"/>
              </w:rPr>
            </w:pPr>
            <w:r w:rsidRPr="00802F61">
              <w:rPr>
                <w:rFonts w:ascii="Tahoma" w:hAnsi="Tahoma" w:cs="Tahoma"/>
                <w:sz w:val="24"/>
                <w:szCs w:val="24"/>
              </w:rPr>
              <w:t xml:space="preserve">Additional coursework is required, if, after you have met the previously described requirements, you have not yet completed a total of 120 units of credit.  </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sz w:val="24"/>
                <w:szCs w:val="24"/>
              </w:rPr>
            </w:pPr>
            <w:r w:rsidRPr="00802F61">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w:t>
            </w:r>
            <w:r w:rsidRPr="00802F61">
              <w:rPr>
                <w:rFonts w:ascii="Tahoma" w:hAnsi="Tahoma" w:cs="Tahoma"/>
                <w:sz w:val="24"/>
                <w:szCs w:val="24"/>
              </w:rPr>
              <w:lastRenderedPageBreak/>
              <w:t>(Please note that you may also use prerequisites or transfer credits as electives if they weren't used to meet major, minor, or liberal studies requirements.)</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Additional Information</w:t>
            </w:r>
          </w:p>
          <w:p w:rsidR="00344D10" w:rsidRPr="00802F61" w:rsidRDefault="00802F61" w:rsidP="00802F61">
            <w:pPr>
              <w:rPr>
                <w:rFonts w:ascii="Tahoma" w:hAnsi="Tahoma" w:cs="Tahoma"/>
                <w:sz w:val="24"/>
                <w:szCs w:val="24"/>
              </w:rPr>
            </w:pPr>
            <w:r w:rsidRPr="00802F61">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802F61" w:rsidRDefault="00802F61" w:rsidP="00802F61">
            <w:pPr>
              <w:pStyle w:val="Heading4"/>
              <w:outlineLvl w:val="3"/>
              <w:rPr>
                <w:rFonts w:ascii="Tahoma" w:hAnsi="Tahoma" w:cs="Tahoma"/>
                <w:sz w:val="24"/>
                <w:szCs w:val="24"/>
              </w:rPr>
            </w:pPr>
            <w:r>
              <w:rPr>
                <w:rFonts w:ascii="Tahoma" w:hAnsi="Tahoma" w:cs="Tahoma"/>
                <w:sz w:val="24"/>
                <w:szCs w:val="24"/>
              </w:rPr>
              <w:t xml:space="preserve">Applied Indigenous Studies; B.S.    </w:t>
            </w:r>
          </w:p>
          <w:p w:rsidR="00802F61" w:rsidRPr="00E96742" w:rsidRDefault="00802F61" w:rsidP="00802F61"/>
          <w:p w:rsidR="00802F61" w:rsidRPr="00802F61" w:rsidRDefault="00802F61" w:rsidP="00802F61">
            <w:pPr>
              <w:rPr>
                <w:rFonts w:ascii="Tahoma" w:hAnsi="Tahoma" w:cs="Tahoma"/>
                <w:sz w:val="24"/>
                <w:szCs w:val="24"/>
              </w:rPr>
            </w:pPr>
            <w:r w:rsidRPr="00802F61">
              <w:rPr>
                <w:rFonts w:ascii="Tahoma" w:hAnsi="Tahoma" w:cs="Tahoma"/>
                <w:sz w:val="24"/>
                <w:szCs w:val="24"/>
              </w:rPr>
              <w:t>In addition to University Requirements:</w:t>
            </w:r>
          </w:p>
          <w:p w:rsidR="00802F61" w:rsidRPr="00802F61" w:rsidRDefault="00802F61" w:rsidP="00802F61">
            <w:pPr>
              <w:rPr>
                <w:rFonts w:ascii="Tahoma" w:hAnsi="Tahoma" w:cs="Tahoma"/>
                <w:sz w:val="24"/>
                <w:szCs w:val="24"/>
              </w:rPr>
            </w:pP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At least 42 units of major requirements</w:t>
            </w: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At least 18 units of minor requirements</w:t>
            </w: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Be aware that you may not use courses with an AIS prefix to satisfy liberal studies requirements</w:t>
            </w:r>
          </w:p>
          <w:p w:rsidR="00802F61" w:rsidRPr="00802F61" w:rsidRDefault="00802F61" w:rsidP="00802F61">
            <w:pPr>
              <w:pStyle w:val="ListParagraph"/>
              <w:numPr>
                <w:ilvl w:val="0"/>
                <w:numId w:val="23"/>
              </w:numPr>
              <w:rPr>
                <w:rFonts w:ascii="Tahoma" w:hAnsi="Tahoma" w:cs="Tahoma"/>
                <w:sz w:val="24"/>
                <w:szCs w:val="24"/>
              </w:rPr>
            </w:pPr>
            <w:r w:rsidRPr="00802F61">
              <w:rPr>
                <w:rFonts w:ascii="Tahoma" w:hAnsi="Tahoma" w:cs="Tahoma"/>
                <w:sz w:val="24"/>
                <w:szCs w:val="24"/>
              </w:rPr>
              <w:t>Elective courses, if needed, to reach an overall total of at least 120 units</w:t>
            </w:r>
          </w:p>
          <w:p w:rsidR="00802F61" w:rsidRPr="00802F61" w:rsidRDefault="00802F61" w:rsidP="00802F61">
            <w:pPr>
              <w:rPr>
                <w:rFonts w:ascii="Tahoma" w:hAnsi="Tahoma" w:cs="Tahoma"/>
                <w:sz w:val="24"/>
                <w:szCs w:val="24"/>
              </w:rPr>
            </w:pPr>
          </w:p>
          <w:p w:rsidR="00802F61" w:rsidRDefault="00802F61" w:rsidP="00802F61">
            <w:pPr>
              <w:rPr>
                <w:rFonts w:ascii="Tahoma" w:hAnsi="Tahoma" w:cs="Tahoma"/>
                <w:sz w:val="24"/>
                <w:szCs w:val="24"/>
              </w:rPr>
            </w:pPr>
            <w:r w:rsidRPr="00802F61">
              <w:rPr>
                <w:rFonts w:ascii="Tahoma" w:hAnsi="Tahoma" w:cs="Tahoma"/>
                <w:sz w:val="24"/>
                <w:szCs w:val="24"/>
              </w:rPr>
              <w:t>Please note that you may be able to use some courses to meet more than one requirement. Contact your advisor for details.</w:t>
            </w:r>
          </w:p>
          <w:p w:rsidR="00802F61" w:rsidRDefault="00802F61" w:rsidP="00802F61">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802F61" w:rsidRPr="00B53666" w:rsidTr="00802F61">
              <w:trPr>
                <w:tblHeade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Minimum Units for Completion</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120</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GPA</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C</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Mathematics Required</w:t>
                  </w:r>
                </w:p>
              </w:tc>
              <w:tc>
                <w:tcPr>
                  <w:tcW w:w="2776" w:type="dxa"/>
                  <w:vAlign w:val="center"/>
                  <w:hideMark/>
                </w:tcPr>
                <w:p w:rsidR="00802F61" w:rsidRPr="00B53666" w:rsidRDefault="00944CAC" w:rsidP="00802F61">
                  <w:pPr>
                    <w:rPr>
                      <w:rFonts w:ascii="Tahoma" w:hAnsi="Tahoma" w:cs="Tahoma"/>
                      <w:sz w:val="16"/>
                      <w:szCs w:val="16"/>
                    </w:rPr>
                  </w:pPr>
                  <w:hyperlink r:id="rId14" w:tgtFrame="_blank" w:history="1">
                    <w:r w:rsidR="00802F61" w:rsidRPr="00B53666">
                      <w:rPr>
                        <w:rStyle w:val="Hyperlink"/>
                        <w:rFonts w:ascii="Tahoma" w:hAnsi="Tahoma" w:cs="Tahoma"/>
                        <w:sz w:val="16"/>
                        <w:szCs w:val="16"/>
                      </w:rPr>
                      <w:t>MAT 114</w:t>
                    </w:r>
                  </w:hyperlink>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Emphasis, Minor, Certificate</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Required</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Foreign Language</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Required</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Fieldwork Experience/Internship</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Required</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University Honors Program</w:t>
                  </w:r>
                </w:p>
              </w:tc>
              <w:tc>
                <w:tcPr>
                  <w:tcW w:w="2776"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Optional</w:t>
                  </w:r>
                </w:p>
              </w:tc>
            </w:tr>
            <w:tr w:rsidR="00802F61" w:rsidRPr="00B53666" w:rsidTr="00802F61">
              <w:trPr>
                <w:tblCellSpacing w:w="15" w:type="dxa"/>
              </w:trPr>
              <w:tc>
                <w:tcPr>
                  <w:tcW w:w="2650" w:type="dxa"/>
                  <w:vAlign w:val="center"/>
                  <w:hideMark/>
                </w:tcPr>
                <w:p w:rsidR="00802F61" w:rsidRPr="00B53666" w:rsidRDefault="00802F61" w:rsidP="00802F61">
                  <w:pPr>
                    <w:rPr>
                      <w:rFonts w:ascii="Tahoma" w:hAnsi="Tahoma" w:cs="Tahoma"/>
                      <w:sz w:val="16"/>
                      <w:szCs w:val="16"/>
                    </w:rPr>
                  </w:pPr>
                  <w:r w:rsidRPr="00B53666">
                    <w:rPr>
                      <w:rFonts w:ascii="Tahoma" w:hAnsi="Tahoma" w:cs="Tahoma"/>
                      <w:sz w:val="16"/>
                      <w:szCs w:val="16"/>
                    </w:rPr>
                    <w:t>Progression Plan</w:t>
                  </w:r>
                </w:p>
              </w:tc>
              <w:tc>
                <w:tcPr>
                  <w:tcW w:w="2776" w:type="dxa"/>
                  <w:vAlign w:val="center"/>
                  <w:hideMark/>
                </w:tcPr>
                <w:p w:rsidR="00802F61" w:rsidRPr="00B53666" w:rsidRDefault="00944CAC" w:rsidP="00802F61">
                  <w:pPr>
                    <w:rPr>
                      <w:rFonts w:ascii="Tahoma" w:hAnsi="Tahoma" w:cs="Tahoma"/>
                      <w:sz w:val="16"/>
                      <w:szCs w:val="16"/>
                    </w:rPr>
                  </w:pPr>
                  <w:hyperlink r:id="rId15" w:anchor="AISBA" w:tgtFrame="_blank" w:history="1">
                    <w:r w:rsidR="00802F61" w:rsidRPr="00B53666">
                      <w:rPr>
                        <w:rStyle w:val="Hyperlink"/>
                        <w:rFonts w:ascii="Tahoma" w:hAnsi="Tahoma" w:cs="Tahoma"/>
                        <w:sz w:val="16"/>
                        <w:szCs w:val="16"/>
                      </w:rPr>
                      <w:t>View Progression Plan</w:t>
                    </w:r>
                  </w:hyperlink>
                </w:p>
              </w:tc>
            </w:tr>
          </w:tbl>
          <w:p w:rsid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Major Requirements</w:t>
            </w:r>
          </w:p>
          <w:p w:rsidR="00802F61" w:rsidRPr="00802F61" w:rsidRDefault="00802F61" w:rsidP="00802F61">
            <w:pPr>
              <w:rPr>
                <w:rFonts w:ascii="Tahoma" w:hAnsi="Tahoma" w:cs="Tahoma"/>
                <w:sz w:val="24"/>
                <w:szCs w:val="24"/>
              </w:rPr>
            </w:pPr>
            <w:r w:rsidRPr="00802F61">
              <w:rPr>
                <w:rFonts w:ascii="Tahoma" w:hAnsi="Tahoma" w:cs="Tahoma"/>
                <w:sz w:val="24"/>
                <w:szCs w:val="24"/>
              </w:rPr>
              <w:t>Take the following 42 units with a Grade of "C" or better in each course:</w:t>
            </w:r>
          </w:p>
          <w:p w:rsidR="00802F61" w:rsidRPr="00655FAC" w:rsidRDefault="00802F61" w:rsidP="00802F61">
            <w:pPr>
              <w:rPr>
                <w:rFonts w:ascii="Tahoma" w:hAnsi="Tahoma" w:cs="Tahoma"/>
                <w:b/>
                <w:strike/>
                <w:color w:val="FF0000"/>
                <w:sz w:val="24"/>
                <w:szCs w:val="24"/>
              </w:rPr>
            </w:pPr>
            <w:r w:rsidRPr="00655FAC">
              <w:rPr>
                <w:rFonts w:ascii="Tahoma" w:hAnsi="Tahoma" w:cs="Tahoma"/>
                <w:b/>
                <w:strike/>
                <w:color w:val="FF0000"/>
                <w:sz w:val="24"/>
                <w:szCs w:val="24"/>
              </w:rPr>
              <w:t>Core Courses</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AIS 101, AIS 201, AIS 202, AIS 210, AIS 301W, AIS 304, AIS 350, AIS 404, AIS 408, AIS 490C (30 units)</w:t>
            </w:r>
          </w:p>
          <w:p w:rsidR="007C6C6E" w:rsidRDefault="007C6C6E" w:rsidP="007C6C6E">
            <w:pPr>
              <w:rPr>
                <w:rFonts w:ascii="Tahoma" w:hAnsi="Tahoma" w:cs="Tahoma"/>
                <w:sz w:val="24"/>
                <w:szCs w:val="24"/>
              </w:rPr>
            </w:pPr>
            <w:r>
              <w:rPr>
                <w:rFonts w:ascii="Tahoma" w:hAnsi="Tahoma" w:cs="Tahoma"/>
                <w:sz w:val="24"/>
                <w:szCs w:val="24"/>
              </w:rPr>
              <w:t xml:space="preserve">Select courses from the following, </w:t>
            </w:r>
            <w:r w:rsidRPr="007C6C6E">
              <w:rPr>
                <w:rFonts w:ascii="Tahoma" w:hAnsi="Tahoma" w:cs="Tahoma"/>
                <w:b/>
                <w:strike/>
                <w:color w:val="FF0000"/>
                <w:sz w:val="24"/>
                <w:szCs w:val="24"/>
              </w:rPr>
              <w:t xml:space="preserve">with </w:t>
            </w:r>
            <w:r>
              <w:rPr>
                <w:rFonts w:ascii="Tahoma" w:hAnsi="Tahoma" w:cs="Tahoma"/>
                <w:b/>
                <w:strike/>
                <w:color w:val="FF0000"/>
                <w:sz w:val="24"/>
                <w:szCs w:val="24"/>
              </w:rPr>
              <w:t>no more than 4</w:t>
            </w:r>
            <w:r>
              <w:rPr>
                <w:rFonts w:ascii="Tahoma" w:hAnsi="Tahoma" w:cs="Tahoma"/>
                <w:sz w:val="24"/>
                <w:szCs w:val="24"/>
              </w:rPr>
              <w:t xml:space="preserve">  </w:t>
            </w:r>
            <w:r w:rsidRPr="007C6C6E">
              <w:rPr>
                <w:rFonts w:ascii="Tahoma" w:hAnsi="Tahoma" w:cs="Tahoma"/>
                <w:b/>
                <w:sz w:val="24"/>
                <w:szCs w:val="24"/>
              </w:rPr>
              <w:t xml:space="preserve">including </w:t>
            </w:r>
            <w:r>
              <w:rPr>
                <w:rFonts w:ascii="Tahoma" w:hAnsi="Tahoma" w:cs="Tahoma"/>
                <w:b/>
                <w:sz w:val="24"/>
                <w:szCs w:val="24"/>
              </w:rPr>
              <w:t>at least</w:t>
            </w:r>
            <w:r>
              <w:rPr>
                <w:rFonts w:ascii="Tahoma" w:hAnsi="Tahoma" w:cs="Tahoma"/>
                <w:sz w:val="24"/>
                <w:szCs w:val="24"/>
              </w:rPr>
              <w:t xml:space="preserve"> </w:t>
            </w:r>
            <w:r>
              <w:rPr>
                <w:rFonts w:ascii="Tahoma" w:hAnsi="Tahoma" w:cs="Tahoma"/>
                <w:b/>
                <w:sz w:val="24"/>
                <w:szCs w:val="24"/>
              </w:rPr>
              <w:t>6</w:t>
            </w:r>
            <w:r>
              <w:rPr>
                <w:rFonts w:ascii="Tahoma" w:hAnsi="Tahoma" w:cs="Tahoma"/>
                <w:sz w:val="24"/>
                <w:szCs w:val="24"/>
              </w:rPr>
              <w:t xml:space="preserve"> units </w:t>
            </w:r>
            <w:r>
              <w:rPr>
                <w:rFonts w:ascii="Tahoma" w:hAnsi="Tahoma" w:cs="Tahoma"/>
                <w:b/>
                <w:strike/>
                <w:color w:val="FF0000"/>
                <w:sz w:val="24"/>
                <w:szCs w:val="24"/>
              </w:rPr>
              <w:t xml:space="preserve">in any one course </w:t>
            </w:r>
            <w:r>
              <w:rPr>
                <w:rFonts w:ascii="Tahoma" w:hAnsi="Tahoma" w:cs="Tahoma"/>
                <w:b/>
                <w:sz w:val="24"/>
                <w:szCs w:val="24"/>
              </w:rPr>
              <w:t>of AIS c</w:t>
            </w:r>
            <w:r>
              <w:rPr>
                <w:rFonts w:ascii="Tahoma" w:hAnsi="Tahoma" w:cs="Tahoma"/>
                <w:sz w:val="24"/>
                <w:szCs w:val="24"/>
              </w:rPr>
              <w:t>ourse</w:t>
            </w:r>
            <w:r w:rsidRPr="007C6C6E">
              <w:rPr>
                <w:rFonts w:ascii="Tahoma" w:hAnsi="Tahoma" w:cs="Tahoma"/>
                <w:b/>
                <w:sz w:val="24"/>
                <w:szCs w:val="24"/>
              </w:rPr>
              <w:t>s</w:t>
            </w:r>
            <w:r>
              <w:rPr>
                <w:rFonts w:ascii="Tahoma" w:hAnsi="Tahoma" w:cs="Tahoma"/>
                <w:sz w:val="24"/>
                <w:szCs w:val="24"/>
              </w:rPr>
              <w:t xml:space="preserve"> </w:t>
            </w:r>
            <w:r w:rsidRPr="007C6C6E">
              <w:rPr>
                <w:rFonts w:ascii="Tahoma" w:hAnsi="Tahoma" w:cs="Tahoma"/>
                <w:b/>
                <w:strike/>
                <w:color w:val="FF0000"/>
                <w:sz w:val="24"/>
                <w:szCs w:val="24"/>
              </w:rPr>
              <w:t xml:space="preserve">prefix </w:t>
            </w:r>
            <w:r>
              <w:rPr>
                <w:rFonts w:ascii="Tahoma" w:hAnsi="Tahoma" w:cs="Tahoma"/>
                <w:sz w:val="24"/>
                <w:szCs w:val="24"/>
              </w:rPr>
              <w:t>(12 units):</w:t>
            </w:r>
          </w:p>
          <w:p w:rsidR="00C04929" w:rsidRPr="00B53666" w:rsidRDefault="00C04929" w:rsidP="00C04929">
            <w:pPr>
              <w:pStyle w:val="ListParagraph"/>
              <w:numPr>
                <w:ilvl w:val="0"/>
                <w:numId w:val="21"/>
              </w:numPr>
              <w:rPr>
                <w:rFonts w:ascii="Tahoma" w:hAnsi="Tahoma" w:cs="Tahoma"/>
                <w:sz w:val="24"/>
                <w:szCs w:val="24"/>
              </w:rPr>
            </w:pPr>
            <w:r w:rsidRPr="00B53666">
              <w:rPr>
                <w:rFonts w:ascii="Tahoma" w:hAnsi="Tahoma" w:cs="Tahoma"/>
                <w:sz w:val="24"/>
                <w:szCs w:val="24"/>
              </w:rPr>
              <w:t xml:space="preserve">AIS 230, AIS 232, AIS 290, </w:t>
            </w:r>
            <w:r w:rsidRPr="00F00CEC">
              <w:rPr>
                <w:rFonts w:ascii="Tahoma" w:hAnsi="Tahoma" w:cs="Tahoma"/>
                <w:b/>
                <w:sz w:val="24"/>
                <w:szCs w:val="24"/>
              </w:rPr>
              <w:t>AIS 310,</w:t>
            </w:r>
            <w:r>
              <w:rPr>
                <w:rFonts w:ascii="Tahoma" w:hAnsi="Tahoma" w:cs="Tahoma"/>
                <w:sz w:val="24"/>
                <w:szCs w:val="24"/>
              </w:rPr>
              <w:t xml:space="preserve"> </w:t>
            </w:r>
            <w:r w:rsidRPr="00B53666">
              <w:rPr>
                <w:rFonts w:ascii="Tahoma" w:hAnsi="Tahoma" w:cs="Tahoma"/>
                <w:sz w:val="24"/>
                <w:szCs w:val="24"/>
              </w:rPr>
              <w:t>AIS 395, AIS 450, AIS 470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AIS 320 or POS 320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ANT 205, ANT 301, ANT 303, ANT 306, ANT 351, ANT 365, ANT 406, ANT 460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ARH 145</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BIO 479</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lastRenderedPageBreak/>
              <w:t>CCJ 415</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COM 301</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CST 323, CST 477</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ES 191, ES 215, ES 356</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FOR 270, FOR 370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HIS 280, HIS 293, HIS 368, HIS 380, HIS 381, HIS 385, HIS 386, HIS 413</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NAV 101, NAV 102, NAV 201, NAV 202, NAV 303, NAV 304W, NAV 311, NAV 312, NAV 321, NAV 405, NAV 406</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REL 201, REL 380</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SOC 315</w:t>
            </w:r>
          </w:p>
          <w:p w:rsidR="00802F61" w:rsidRPr="00802F61" w:rsidRDefault="00802F61" w:rsidP="00802F61">
            <w:pPr>
              <w:pStyle w:val="ListParagraph"/>
              <w:numPr>
                <w:ilvl w:val="0"/>
                <w:numId w:val="24"/>
              </w:numPr>
              <w:rPr>
                <w:rFonts w:ascii="Tahoma" w:hAnsi="Tahoma" w:cs="Tahoma"/>
                <w:sz w:val="24"/>
                <w:szCs w:val="24"/>
              </w:rPr>
            </w:pPr>
            <w:r w:rsidRPr="00802F61">
              <w:rPr>
                <w:rFonts w:ascii="Tahoma" w:hAnsi="Tahoma" w:cs="Tahoma"/>
                <w:sz w:val="24"/>
                <w:szCs w:val="24"/>
              </w:rPr>
              <w:t>Other courses approved by the department chair</w:t>
            </w:r>
          </w:p>
          <w:p w:rsidR="00802F61" w:rsidRPr="00802F61" w:rsidRDefault="00802F61" w:rsidP="00802F61">
            <w:pPr>
              <w:rPr>
                <w:rFonts w:ascii="Tahoma" w:hAnsi="Tahoma" w:cs="Tahoma"/>
                <w:sz w:val="24"/>
                <w:szCs w:val="24"/>
              </w:rPr>
            </w:pPr>
            <w:r w:rsidRPr="00802F61">
              <w:rPr>
                <w:rFonts w:ascii="Tahoma" w:hAnsi="Tahoma" w:cs="Tahoma"/>
                <w:sz w:val="24"/>
                <w:szCs w:val="24"/>
              </w:rPr>
              <w:t>Interest Areas</w:t>
            </w:r>
          </w:p>
          <w:p w:rsidR="00802F61" w:rsidRPr="00802F61" w:rsidRDefault="00802F61" w:rsidP="00802F61">
            <w:pPr>
              <w:rPr>
                <w:rFonts w:ascii="Tahoma" w:hAnsi="Tahoma" w:cs="Tahoma"/>
                <w:sz w:val="24"/>
                <w:szCs w:val="24"/>
              </w:rPr>
            </w:pPr>
            <w:r w:rsidRPr="00802F61">
              <w:rPr>
                <w:rFonts w:ascii="Tahoma" w:hAnsi="Tahoma" w:cs="Tahoma"/>
                <w:sz w:val="24"/>
                <w:szCs w:val="24"/>
              </w:rPr>
              <w:t>Students with particular areas of interest in the following areas should work with their advisor to select courses in support of that area of interest:</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Tribal policy, politics and administration</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Indigenous environmental and human health sciences, policy and management</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Cultural resource management and Indigenous knowledge</w:t>
            </w:r>
          </w:p>
          <w:p w:rsidR="00802F61" w:rsidRPr="00802F61" w:rsidRDefault="00802F61" w:rsidP="00802F61">
            <w:pPr>
              <w:pStyle w:val="ListParagraph"/>
              <w:numPr>
                <w:ilvl w:val="0"/>
                <w:numId w:val="25"/>
              </w:numPr>
              <w:rPr>
                <w:rFonts w:ascii="Tahoma" w:hAnsi="Tahoma" w:cs="Tahoma"/>
                <w:sz w:val="24"/>
                <w:szCs w:val="24"/>
              </w:rPr>
            </w:pPr>
            <w:r w:rsidRPr="00802F61">
              <w:rPr>
                <w:rFonts w:ascii="Tahoma" w:hAnsi="Tahoma" w:cs="Tahoma"/>
                <w:sz w:val="24"/>
                <w:szCs w:val="24"/>
              </w:rPr>
              <w:t>Sustainable community economic developmental and indigenous entrepreneurship</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Minor Requirements</w:t>
            </w:r>
          </w:p>
          <w:p w:rsidR="00802F61" w:rsidRPr="00802F61" w:rsidRDefault="00802F61" w:rsidP="00802F61">
            <w:pPr>
              <w:rPr>
                <w:rFonts w:ascii="Tahoma" w:hAnsi="Tahoma" w:cs="Tahoma"/>
                <w:sz w:val="24"/>
                <w:szCs w:val="24"/>
              </w:rPr>
            </w:pPr>
            <w:r w:rsidRPr="00802F61">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General Electives</w:t>
            </w:r>
          </w:p>
          <w:p w:rsidR="00802F61" w:rsidRPr="00802F61" w:rsidRDefault="00802F61" w:rsidP="00802F61">
            <w:pPr>
              <w:rPr>
                <w:rFonts w:ascii="Tahoma" w:hAnsi="Tahoma" w:cs="Tahoma"/>
                <w:sz w:val="24"/>
                <w:szCs w:val="24"/>
              </w:rPr>
            </w:pPr>
            <w:r w:rsidRPr="00802F61">
              <w:rPr>
                <w:rFonts w:ascii="Tahoma" w:hAnsi="Tahoma" w:cs="Tahoma"/>
                <w:sz w:val="24"/>
                <w:szCs w:val="24"/>
              </w:rPr>
              <w:t xml:space="preserve">Additional coursework is required, if, after you have met the previously described requirements, you have not yet completed a total of 120 units of credit.  </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sz w:val="24"/>
                <w:szCs w:val="24"/>
              </w:rPr>
            </w:pPr>
            <w:r w:rsidRPr="00802F61">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w:t>
            </w:r>
            <w:r w:rsidRPr="00802F61">
              <w:rPr>
                <w:rFonts w:ascii="Tahoma" w:hAnsi="Tahoma" w:cs="Tahoma"/>
                <w:sz w:val="24"/>
                <w:szCs w:val="24"/>
              </w:rPr>
              <w:lastRenderedPageBreak/>
              <w:t>(Please note that you may also use prerequisites or transfer credits as electives if they weren't used to meet major, minor, or liberal studies requirements.)</w:t>
            </w:r>
          </w:p>
          <w:p w:rsidR="00802F61" w:rsidRPr="00802F61" w:rsidRDefault="00802F61" w:rsidP="00802F61">
            <w:pPr>
              <w:rPr>
                <w:rFonts w:ascii="Tahoma" w:hAnsi="Tahoma" w:cs="Tahoma"/>
                <w:sz w:val="24"/>
                <w:szCs w:val="24"/>
              </w:rPr>
            </w:pPr>
          </w:p>
          <w:p w:rsidR="00802F61" w:rsidRPr="00802F61" w:rsidRDefault="00802F61" w:rsidP="00802F61">
            <w:pPr>
              <w:rPr>
                <w:rFonts w:ascii="Tahoma" w:hAnsi="Tahoma" w:cs="Tahoma"/>
                <w:i/>
                <w:sz w:val="24"/>
                <w:szCs w:val="24"/>
              </w:rPr>
            </w:pPr>
            <w:r w:rsidRPr="00802F61">
              <w:rPr>
                <w:rFonts w:ascii="Tahoma" w:hAnsi="Tahoma" w:cs="Tahoma"/>
                <w:i/>
                <w:sz w:val="24"/>
                <w:szCs w:val="24"/>
              </w:rPr>
              <w:t>Additional Information</w:t>
            </w:r>
          </w:p>
          <w:p w:rsidR="00802F61" w:rsidRPr="00802F61" w:rsidRDefault="00802F61" w:rsidP="00802F61">
            <w:pPr>
              <w:rPr>
                <w:rFonts w:ascii="Tahoma" w:hAnsi="Tahoma" w:cs="Tahoma"/>
                <w:sz w:val="24"/>
                <w:szCs w:val="24"/>
              </w:rPr>
            </w:pPr>
            <w:r w:rsidRPr="00802F61">
              <w:rPr>
                <w:rFonts w:ascii="Tahoma" w:hAnsi="Tahoma" w:cs="Tahoma"/>
                <w:sz w:val="24"/>
                <w:szCs w:val="24"/>
              </w:rPr>
              <w:t>Be aware that some courses may have prerequisites that you must also take. For prerequisite information click on the course or see your advisor.</w:t>
            </w:r>
          </w:p>
          <w:p w:rsidR="00AB49C0" w:rsidRPr="00AB49C0" w:rsidRDefault="00AB49C0" w:rsidP="00B53666">
            <w:pPr>
              <w:rPr>
                <w:rFonts w:ascii="Tahoma" w:hAnsi="Tahoma" w:cs="Tahoma"/>
                <w:sz w:val="24"/>
                <w:szCs w:val="24"/>
              </w:rPr>
            </w:pP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7F2C66" w:rsidRPr="007F2C66" w:rsidRDefault="007F2C66" w:rsidP="007F2C66">
      <w:pPr>
        <w:shd w:val="clear" w:color="auto" w:fill="D9D9D9" w:themeFill="background1" w:themeFillShade="D9"/>
        <w:rPr>
          <w:rFonts w:ascii="Arial" w:hAnsi="Arial" w:cs="Arial"/>
          <w:b/>
          <w:sz w:val="24"/>
          <w:szCs w:val="24"/>
        </w:rPr>
      </w:pPr>
      <w:r w:rsidRPr="007F2C66">
        <w:rPr>
          <w:rFonts w:ascii="Arial" w:hAnsi="Arial" w:cs="Arial"/>
          <w:b/>
          <w:sz w:val="24"/>
          <w:szCs w:val="24"/>
        </w:rPr>
        <w:t>A new course, AIS 310, is added an elective.  The course fills a void in the curriculum with respect to one of the core elements of the discipline of Indigenous Studies—Aesthetics and Art.   Additionally, we’ve modified the number of units that can be taken from AIS courses to fulfill the 12 units of AIS electives, to allow students to choose more AIS courses rather than courses from other departments to fulfill this requirement.  This change helps to ensure steady progress towards graduation for our majors.  As other departments have made changes to their curriculum, it has impacted our students as course offerings in those other departments may not be available each academic year.</w:t>
      </w:r>
    </w:p>
    <w:p w:rsidR="007F2C66" w:rsidRDefault="007F2C66" w:rsidP="007F2C66">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44CAC"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44CAC"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44CAC"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44CAC">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44CAC">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44CAC">
        <w:rPr>
          <w:rFonts w:ascii="Arial" w:hAnsi="Arial" w:cs="Arial"/>
          <w:sz w:val="24"/>
          <w:szCs w:val="24"/>
        </w:rPr>
        <w:fldChar w:fldCharType="begin">
          <w:ffData>
            <w:name w:val=""/>
            <w:enabled/>
            <w:calcOnExit w:val="0"/>
            <w:checkBox>
              <w:sizeAuto/>
              <w:default w:val="1"/>
            </w:checkBox>
          </w:ffData>
        </w:fldChar>
      </w:r>
      <w:r w:rsidR="007F2C66">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Pr>
          <w:rFonts w:ascii="Arial" w:hAnsi="Arial" w:cs="Arial"/>
          <w:sz w:val="24"/>
          <w:szCs w:val="24"/>
        </w:rPr>
        <w:fldChar w:fldCharType="end"/>
      </w:r>
      <w:r w:rsidRPr="002B1A53">
        <w:rPr>
          <w:rFonts w:ascii="Arial" w:hAnsi="Arial" w:cs="Arial"/>
          <w:sz w:val="24"/>
          <w:szCs w:val="24"/>
        </w:rPr>
        <w:t xml:space="preserve">      No </w:t>
      </w:r>
      <w:r w:rsidR="00944CA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008C1EB6">
        <w:rPr>
          <w:rFonts w:ascii="Arial" w:hAnsi="Arial" w:cs="Arial"/>
          <w:sz w:val="24"/>
          <w:szCs w:val="24"/>
        </w:rPr>
        <w:t xml:space="preserve">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8C1EB6">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944CA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r w:rsidRPr="002B1A53">
        <w:rPr>
          <w:rFonts w:ascii="Arial" w:hAnsi="Arial" w:cs="Arial"/>
          <w:sz w:val="24"/>
          <w:szCs w:val="24"/>
        </w:rPr>
        <w:t xml:space="preserve">      No </w:t>
      </w:r>
      <w:r w:rsidR="00944CA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p>
    <w:p w:rsidR="005735CD" w:rsidRDefault="005735CD" w:rsidP="005735CD"/>
    <w:p w:rsidR="00C04929" w:rsidRDefault="00C04929" w:rsidP="005735CD">
      <w:pPr>
        <w:rPr>
          <w:rFonts w:ascii="Arial" w:hAnsi="Arial" w:cs="Arial"/>
          <w:b/>
          <w:sz w:val="24"/>
          <w:szCs w:val="24"/>
          <w:u w:val="single"/>
        </w:rPr>
      </w:pPr>
    </w:p>
    <w:p w:rsidR="007F2C66" w:rsidRDefault="007F2C66"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44CA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r w:rsidRPr="002B1A53">
        <w:rPr>
          <w:rFonts w:ascii="Arial" w:hAnsi="Arial" w:cs="Arial"/>
          <w:sz w:val="24"/>
          <w:szCs w:val="24"/>
        </w:rPr>
        <w:t xml:space="preserve">      No </w:t>
      </w:r>
      <w:r w:rsidR="00944CA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44CA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r w:rsidRPr="002B1A53">
        <w:rPr>
          <w:rFonts w:ascii="Arial" w:hAnsi="Arial" w:cs="Arial"/>
          <w:sz w:val="24"/>
          <w:szCs w:val="24"/>
        </w:rPr>
        <w:t xml:space="preserve">      No </w:t>
      </w:r>
      <w:r w:rsidR="00944CA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4263D4">
            <w:pPr>
              <w:rPr>
                <w:rFonts w:ascii="Arial" w:hAnsi="Arial" w:cs="Arial"/>
                <w:b/>
                <w:sz w:val="24"/>
                <w:szCs w:val="24"/>
              </w:rPr>
            </w:pPr>
            <w:r>
              <w:rPr>
                <w:rFonts w:ascii="Arial" w:hAnsi="Arial" w:cs="Arial"/>
                <w:b/>
                <w:sz w:val="24"/>
                <w:szCs w:val="24"/>
              </w:rPr>
              <w:t>1</w:t>
            </w:r>
            <w:r w:rsidR="004263D4">
              <w:rPr>
                <w:rFonts w:ascii="Arial" w:hAnsi="Arial" w:cs="Arial"/>
                <w:b/>
                <w:sz w:val="24"/>
                <w:szCs w:val="24"/>
              </w:rPr>
              <w:t>/16/2014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44C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r w:rsidRPr="00313AE8">
        <w:rPr>
          <w:rFonts w:ascii="Arial" w:hAnsi="Arial" w:cs="Arial"/>
          <w:sz w:val="24"/>
          <w:szCs w:val="24"/>
        </w:rPr>
        <w:t xml:space="preserve">     No  </w:t>
      </w:r>
      <w:r w:rsidR="00944C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44C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44C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lastRenderedPageBreak/>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44C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r w:rsidRPr="00313AE8">
        <w:rPr>
          <w:rFonts w:ascii="Arial" w:hAnsi="Arial" w:cs="Arial"/>
          <w:sz w:val="24"/>
          <w:szCs w:val="24"/>
        </w:rPr>
        <w:t xml:space="preserve">     No  </w:t>
      </w:r>
      <w:r w:rsidR="00944C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44C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44C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44CAC">
        <w:rPr>
          <w:rFonts w:ascii="Arial" w:hAnsi="Arial" w:cs="Arial"/>
          <w:sz w:val="24"/>
          <w:szCs w:val="24"/>
        </w:rPr>
      </w:r>
      <w:r w:rsidR="00944CAC">
        <w:rPr>
          <w:rFonts w:ascii="Arial" w:hAnsi="Arial" w:cs="Arial"/>
          <w:sz w:val="24"/>
          <w:szCs w:val="24"/>
        </w:rPr>
        <w:fldChar w:fldCharType="separate"/>
      </w:r>
      <w:r w:rsidR="00944CAC"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1F" w:rsidRDefault="00A44E1F" w:rsidP="00233561">
      <w:r>
        <w:separator/>
      </w:r>
    </w:p>
  </w:endnote>
  <w:endnote w:type="continuationSeparator" w:id="0">
    <w:p w:rsidR="00A44E1F" w:rsidRDefault="00A44E1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1F" w:rsidRDefault="00A44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1F" w:rsidRDefault="00944CAC">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44E1F">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1F" w:rsidRDefault="00A44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1F" w:rsidRDefault="00A44E1F" w:rsidP="00233561">
      <w:r>
        <w:separator/>
      </w:r>
    </w:p>
  </w:footnote>
  <w:footnote w:type="continuationSeparator" w:id="0">
    <w:p w:rsidR="00A44E1F" w:rsidRDefault="00A44E1F"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1F" w:rsidRDefault="00A44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1F" w:rsidRDefault="00A44E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1F" w:rsidRDefault="00A44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23A3F"/>
    <w:multiLevelType w:val="hybridMultilevel"/>
    <w:tmpl w:val="8D10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35B3D"/>
    <w:multiLevelType w:val="hybridMultilevel"/>
    <w:tmpl w:val="09CE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75A72"/>
    <w:multiLevelType w:val="hybridMultilevel"/>
    <w:tmpl w:val="186C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25310C"/>
    <w:multiLevelType w:val="hybridMultilevel"/>
    <w:tmpl w:val="9BAE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5078F"/>
    <w:multiLevelType w:val="hybridMultilevel"/>
    <w:tmpl w:val="55A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880B35"/>
    <w:multiLevelType w:val="hybridMultilevel"/>
    <w:tmpl w:val="AEF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896803"/>
    <w:multiLevelType w:val="hybridMultilevel"/>
    <w:tmpl w:val="2806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677229"/>
    <w:multiLevelType w:val="hybridMultilevel"/>
    <w:tmpl w:val="9C42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1"/>
  </w:num>
  <w:num w:numId="5">
    <w:abstractNumId w:val="16"/>
  </w:num>
  <w:num w:numId="6">
    <w:abstractNumId w:val="9"/>
  </w:num>
  <w:num w:numId="7">
    <w:abstractNumId w:val="25"/>
  </w:num>
  <w:num w:numId="8">
    <w:abstractNumId w:val="22"/>
  </w:num>
  <w:num w:numId="9">
    <w:abstractNumId w:val="11"/>
  </w:num>
  <w:num w:numId="10">
    <w:abstractNumId w:val="13"/>
  </w:num>
  <w:num w:numId="11">
    <w:abstractNumId w:val="10"/>
  </w:num>
  <w:num w:numId="12">
    <w:abstractNumId w:val="6"/>
  </w:num>
  <w:num w:numId="13">
    <w:abstractNumId w:val="19"/>
  </w:num>
  <w:num w:numId="14">
    <w:abstractNumId w:val="4"/>
  </w:num>
  <w:num w:numId="15">
    <w:abstractNumId w:val="20"/>
  </w:num>
  <w:num w:numId="16">
    <w:abstractNumId w:val="3"/>
  </w:num>
  <w:num w:numId="17">
    <w:abstractNumId w:val="1"/>
  </w:num>
  <w:num w:numId="18">
    <w:abstractNumId w:val="2"/>
  </w:num>
  <w:num w:numId="19">
    <w:abstractNumId w:val="24"/>
  </w:num>
  <w:num w:numId="20">
    <w:abstractNumId w:val="12"/>
  </w:num>
  <w:num w:numId="21">
    <w:abstractNumId w:val="8"/>
  </w:num>
  <w:num w:numId="22">
    <w:abstractNumId w:val="14"/>
  </w:num>
  <w:num w:numId="23">
    <w:abstractNumId w:val="23"/>
  </w:num>
  <w:num w:numId="24">
    <w:abstractNumId w:val="5"/>
  </w:num>
  <w:num w:numId="25">
    <w:abstractNumId w:val="17"/>
  </w:num>
  <w:num w:numId="26">
    <w:abstractNumId w:val="7"/>
  </w:num>
  <w:num w:numId="2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D1F02"/>
    <w:rsid w:val="000F4823"/>
    <w:rsid w:val="00100C2D"/>
    <w:rsid w:val="00103A43"/>
    <w:rsid w:val="00111B8E"/>
    <w:rsid w:val="00146941"/>
    <w:rsid w:val="00154AAE"/>
    <w:rsid w:val="00167158"/>
    <w:rsid w:val="00171B90"/>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66F0A"/>
    <w:rsid w:val="003840CC"/>
    <w:rsid w:val="003A6967"/>
    <w:rsid w:val="003D017F"/>
    <w:rsid w:val="003D59D8"/>
    <w:rsid w:val="00400980"/>
    <w:rsid w:val="004263D4"/>
    <w:rsid w:val="00430E14"/>
    <w:rsid w:val="00440707"/>
    <w:rsid w:val="00444B12"/>
    <w:rsid w:val="004652CE"/>
    <w:rsid w:val="004A4315"/>
    <w:rsid w:val="004F3222"/>
    <w:rsid w:val="004F7394"/>
    <w:rsid w:val="0050399D"/>
    <w:rsid w:val="00504F93"/>
    <w:rsid w:val="005205B4"/>
    <w:rsid w:val="00523703"/>
    <w:rsid w:val="00527409"/>
    <w:rsid w:val="00552434"/>
    <w:rsid w:val="005735CD"/>
    <w:rsid w:val="00574A6E"/>
    <w:rsid w:val="00576921"/>
    <w:rsid w:val="0058038B"/>
    <w:rsid w:val="005C46C1"/>
    <w:rsid w:val="005C7D6A"/>
    <w:rsid w:val="005E15CA"/>
    <w:rsid w:val="005E4D2D"/>
    <w:rsid w:val="005E5238"/>
    <w:rsid w:val="0062365E"/>
    <w:rsid w:val="0065207F"/>
    <w:rsid w:val="00655FAC"/>
    <w:rsid w:val="006620C0"/>
    <w:rsid w:val="006A3149"/>
    <w:rsid w:val="006C069B"/>
    <w:rsid w:val="006F05DF"/>
    <w:rsid w:val="006F14EB"/>
    <w:rsid w:val="006F5FFA"/>
    <w:rsid w:val="00716ABB"/>
    <w:rsid w:val="00753AFA"/>
    <w:rsid w:val="00761DF6"/>
    <w:rsid w:val="0077023D"/>
    <w:rsid w:val="007A1971"/>
    <w:rsid w:val="007A45A6"/>
    <w:rsid w:val="007B143C"/>
    <w:rsid w:val="007B48E7"/>
    <w:rsid w:val="007C6C6E"/>
    <w:rsid w:val="007D1975"/>
    <w:rsid w:val="007D1B84"/>
    <w:rsid w:val="007F2C66"/>
    <w:rsid w:val="00800219"/>
    <w:rsid w:val="00802F61"/>
    <w:rsid w:val="00811C35"/>
    <w:rsid w:val="00813CBA"/>
    <w:rsid w:val="0081690C"/>
    <w:rsid w:val="00893A71"/>
    <w:rsid w:val="008B1926"/>
    <w:rsid w:val="008C1EB6"/>
    <w:rsid w:val="008F40EF"/>
    <w:rsid w:val="008F62B2"/>
    <w:rsid w:val="00910769"/>
    <w:rsid w:val="009213C1"/>
    <w:rsid w:val="009428E5"/>
    <w:rsid w:val="00944CAC"/>
    <w:rsid w:val="009565C5"/>
    <w:rsid w:val="00967B62"/>
    <w:rsid w:val="00971EBF"/>
    <w:rsid w:val="00971F61"/>
    <w:rsid w:val="00984F07"/>
    <w:rsid w:val="009857E6"/>
    <w:rsid w:val="0098781F"/>
    <w:rsid w:val="009B3949"/>
    <w:rsid w:val="009C1083"/>
    <w:rsid w:val="009C75F7"/>
    <w:rsid w:val="009D4DA8"/>
    <w:rsid w:val="009F73DB"/>
    <w:rsid w:val="00A1039F"/>
    <w:rsid w:val="00A15677"/>
    <w:rsid w:val="00A27C28"/>
    <w:rsid w:val="00A40DC3"/>
    <w:rsid w:val="00A44E1F"/>
    <w:rsid w:val="00A9284E"/>
    <w:rsid w:val="00AA0C94"/>
    <w:rsid w:val="00AA5472"/>
    <w:rsid w:val="00AB49C0"/>
    <w:rsid w:val="00AB7DBA"/>
    <w:rsid w:val="00AD50F2"/>
    <w:rsid w:val="00AD6D73"/>
    <w:rsid w:val="00B05C45"/>
    <w:rsid w:val="00B074C9"/>
    <w:rsid w:val="00B079BE"/>
    <w:rsid w:val="00B14B0F"/>
    <w:rsid w:val="00B53666"/>
    <w:rsid w:val="00B841EA"/>
    <w:rsid w:val="00B9339A"/>
    <w:rsid w:val="00BA27EA"/>
    <w:rsid w:val="00BA55E7"/>
    <w:rsid w:val="00BB2CF6"/>
    <w:rsid w:val="00BC135B"/>
    <w:rsid w:val="00BD0893"/>
    <w:rsid w:val="00BE0E14"/>
    <w:rsid w:val="00C04929"/>
    <w:rsid w:val="00C06F95"/>
    <w:rsid w:val="00C33312"/>
    <w:rsid w:val="00C3660C"/>
    <w:rsid w:val="00C421AD"/>
    <w:rsid w:val="00C42CC0"/>
    <w:rsid w:val="00C56A0D"/>
    <w:rsid w:val="00C6101A"/>
    <w:rsid w:val="00CA6369"/>
    <w:rsid w:val="00CC1300"/>
    <w:rsid w:val="00CD7A67"/>
    <w:rsid w:val="00CE4E0C"/>
    <w:rsid w:val="00CF30DD"/>
    <w:rsid w:val="00D0285C"/>
    <w:rsid w:val="00D1166C"/>
    <w:rsid w:val="00D27B18"/>
    <w:rsid w:val="00D633D3"/>
    <w:rsid w:val="00D928DB"/>
    <w:rsid w:val="00DA02C7"/>
    <w:rsid w:val="00DD1AD9"/>
    <w:rsid w:val="00DF51D6"/>
    <w:rsid w:val="00DF6505"/>
    <w:rsid w:val="00DF65DA"/>
    <w:rsid w:val="00E3390A"/>
    <w:rsid w:val="00E71D8E"/>
    <w:rsid w:val="00E93E74"/>
    <w:rsid w:val="00EA38F7"/>
    <w:rsid w:val="00EB126C"/>
    <w:rsid w:val="00EC2F62"/>
    <w:rsid w:val="00EE0213"/>
    <w:rsid w:val="00EE2807"/>
    <w:rsid w:val="00F00CEC"/>
    <w:rsid w:val="00F013A5"/>
    <w:rsid w:val="00F043C0"/>
    <w:rsid w:val="00F04E14"/>
    <w:rsid w:val="00F1711F"/>
    <w:rsid w:val="00F2564A"/>
    <w:rsid w:val="00F54A7C"/>
    <w:rsid w:val="00F570EA"/>
    <w:rsid w:val="00F70687"/>
    <w:rsid w:val="00FA436C"/>
    <w:rsid w:val="00FD27AD"/>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6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customStyle="1" w:styleId="Default">
    <w:name w:val="Default"/>
    <w:rsid w:val="007F2C66"/>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40085747">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523468736">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42415-3B5C-4A44-A539-C51F1543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13</cp:revision>
  <dcterms:created xsi:type="dcterms:W3CDTF">2013-10-14T22:17:00Z</dcterms:created>
  <dcterms:modified xsi:type="dcterms:W3CDTF">2014-01-16T23:31:00Z</dcterms:modified>
</cp:coreProperties>
</file>