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E55C8F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138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B53666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576921" w:rsidP="00B536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53666">
              <w:rPr>
                <w:rFonts w:ascii="Arial" w:hAnsi="Arial" w:cs="Arial"/>
                <w:b/>
                <w:sz w:val="24"/>
                <w:szCs w:val="24"/>
              </w:rPr>
              <w:t>pplied Indigenous Studies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AB49C0" w:rsidRDefault="00C77DFE" w:rsidP="00BA2F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Native American Studies</w:t>
            </w:r>
            <w:r w:rsidR="00B661A0">
              <w:rPr>
                <w:rFonts w:ascii="Arial" w:hAnsi="Arial" w:cs="Arial"/>
                <w:b/>
                <w:sz w:val="24"/>
                <w:szCs w:val="24"/>
              </w:rPr>
              <w:t xml:space="preserve"> Minor 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A2FCA">
              <w:rPr>
                <w:rFonts w:ascii="Arial" w:hAnsi="Arial" w:cs="Arial"/>
                <w:b/>
                <w:sz w:val="24"/>
                <w:szCs w:val="24"/>
              </w:rPr>
              <w:t>NASMN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421AD" w:rsidRPr="00A1039F" w:rsidRDefault="00C421AD" w:rsidP="00AB4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E55C8F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E55C8F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E55C8F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E55C8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7692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E55C8F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F3222" w:rsidRPr="00AB49C0" w:rsidRDefault="00AB49C0" w:rsidP="00B9339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49C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NEED </w:t>
            </w: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Pr="00344D10" w:rsidRDefault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UNCHA</w:t>
            </w:r>
            <w:r w:rsidR="00CC130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44D10">
              <w:rPr>
                <w:rFonts w:ascii="Arial" w:hAnsi="Arial" w:cs="Arial"/>
                <w:b/>
                <w:sz w:val="24"/>
                <w:szCs w:val="24"/>
              </w:rPr>
              <w:t>GED</w:t>
            </w:r>
          </w:p>
          <w:p w:rsidR="0065207F" w:rsidRDefault="0065207F"/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08"/>
        <w:gridCol w:w="5400"/>
      </w:tblGrid>
      <w:tr w:rsidR="0065207F" w:rsidTr="00AB49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F" w:rsidRPr="0065207F" w:rsidRDefault="00E55C8F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E55C8F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PirYCAAC4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xg&#10;JGkHLXrke4vu1B4lrjpDb3JweujBze7hGLrsmZr+XlXfDJJq0VC54bdaq6HhlEF2sbsZXlwdcYwD&#10;WQ8fFYMwdGuVB9rXunOlg2IgQIcuPZ0641Kp4PBdnJFoglEFpiRJp5HvXEjz4+VeG/ueqw65RYE1&#10;NN6D0929sS4Zmh9dXCypStG2vvmtfHYAjuMJhIarzuaS8L38mUXZKl2lJCDJdBWQiLHgtlyQYFrG&#10;s8ny3XKxWMa/XNyY5I1gjEsX5qirmPxZ3w4KHxVxUpZRrWAOzqVk9Ga9aDXaUdB16T9fcrCc3cLn&#10;afgiAJcXlOKERHdJFpTTdBaQmkyCbBalQRRnd9k0IhlZls8p3QvJ/50SGgqcTZLJqKVz0i+4Rf57&#10;zY3mnbAwOVrRFTg9OdHcKXAlmW+tpaId1xelcOmfSwHtPjba69VJdBSr3a/3gOJEvFbsCZSrFSgL&#10;5AnjDhaN0j8wGmB0FNh831LNMWo/SFB/FhPiZo3fkMksgY2+tKwvLVRWAFVgi9G4XNhxPm17LTYN&#10;RBrfm1S38GJq4dV8zurwzmA8eFKHUebmz+Xee50H7vw3AAAA//8DAFBLAwQUAAYACAAAACEA4WGK&#10;890AAAAIAQAADwAAAGRycy9kb3ducmV2LnhtbEyPzU7DMBCE70i8g7VI3Fq7kPQnxKkQiCuoBSr1&#10;5sbbJCJeR7HbhLfvcirH0YxmvsnXo2vFGfvQeNIwmyoQSKW3DVUavj7fJksQIRqypvWEGn4xwLq4&#10;vclNZv1AGzxvYyW4hEJmNNQxdpmUoazRmTD1HRJ7R987E1n2lbS9GbjctfJBqbl0piFeqE2HLzWW&#10;P9uT0/D9ftzvEvVRvbq0G/yoJLmV1Pr+bnx+AhFxjNcw/OEzOhTMdPAnskG0GiazlNEjG2oBggOP&#10;SQrioCGZL0AWufx/oLgAAAD//wMAUEsBAi0AFAAGAAgAAAAhAOSZw8D7AAAA4QEAABMAAAAAAAAA&#10;AAAAAAAAAAAAAFtDb250ZW50X1R5cGVzXS54bWxQSwECLQAUAAYACAAAACEAI7Jq4dcAAACUAQAA&#10;CwAAAAAAAAAAAAAAAAAsAQAAX3JlbHMvLnJlbHNQSwECLQAUAAYACAAAACEATIyPirYCAAC4BQAA&#10;DgAAAAAAAAAAAAAAAAAsAgAAZHJzL2Uyb0RvYy54bWxQSwECLQAUAAYACAAAACEA4WGK890AAAAI&#10;AQAADwAAAAAAAAAAAAAAAAAOBQAAZHJzL2Rvd25yZXYueG1sUEsFBgAAAAAEAAQA8wAAABgGAAAA&#10;AA==&#10;" filled="f" stroked="f">
                  <v:textbox>
                    <w:txbxContent>
                      <w:p w:rsidR="00154AAE" w:rsidRPr="005821C8" w:rsidRDefault="00154AAE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0F4823" w:rsidRDefault="00C77DFE" w:rsidP="000F4823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Native American </w:t>
            </w:r>
            <w:r w:rsidR="00B53666">
              <w:rPr>
                <w:rFonts w:ascii="Tahoma" w:hAnsi="Tahoma" w:cs="Tahoma"/>
                <w:sz w:val="24"/>
                <w:szCs w:val="24"/>
              </w:rPr>
              <w:t>Studies</w:t>
            </w:r>
            <w:r w:rsidR="00B661A0">
              <w:rPr>
                <w:rFonts w:ascii="Tahoma" w:hAnsi="Tahoma" w:cs="Tahoma"/>
                <w:sz w:val="24"/>
                <w:szCs w:val="24"/>
              </w:rPr>
              <w:t xml:space="preserve"> Minor </w:t>
            </w:r>
          </w:p>
          <w:p w:rsidR="000F4823" w:rsidRPr="00E96742" w:rsidRDefault="000F4823" w:rsidP="000F4823"/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B49C0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5"/>
              <w:gridCol w:w="2340"/>
            </w:tblGrid>
            <w:tr w:rsidR="00C77DFE" w:rsidRPr="00C77DFE" w:rsidTr="00C77DFE">
              <w:trPr>
                <w:tblHeader/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C77DFE" w:rsidRPr="00C77DFE" w:rsidRDefault="00C77DFE" w:rsidP="00C77DF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C77DFE" w:rsidRPr="00C77DFE" w:rsidRDefault="00C77DFE" w:rsidP="00C77DF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</w:tr>
            <w:tr w:rsidR="00C77DFE" w:rsidRPr="00C77DFE" w:rsidTr="00C77DFE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C77DFE" w:rsidRPr="00C77DFE" w:rsidRDefault="00C77DFE" w:rsidP="00C77DF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C77DFE" w:rsidRPr="00C77DFE" w:rsidRDefault="00C77DFE" w:rsidP="00C77DF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  <w:tr w:rsidR="00C77DFE" w:rsidRPr="00C77DFE" w:rsidTr="00C77DFE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C77DFE" w:rsidRPr="00C77DFE" w:rsidRDefault="00C77DFE" w:rsidP="00C77DF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Foreign Language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C77DFE" w:rsidRPr="00C77DFE" w:rsidRDefault="00C77DFE" w:rsidP="00C77DF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Optional</w:t>
                  </w:r>
                </w:p>
              </w:tc>
            </w:tr>
          </w:tbl>
          <w:p w:rsid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7DFE" w:rsidRPr="00C77DFE" w:rsidRDefault="00C77DFE" w:rsidP="00C77DF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77DFE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Take the following 18 units, with a Grade of "C" or better in each course: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AIS 101, AIS 202, and AIS 350 (9 units)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Select from the following (9 units):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AIS 201, AIS 210, AIS 290, AIS 304, AIS 450, AIS 470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ANT 205, ANT 303, ANT 306, ANT 351, ANT 406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ARH 361, ARH 365, ARH 440*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ENG 345*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HIS 280, HIS 293, HIS 385, HIS 386, HIS 413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MUS 365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NAV 101, NAV 102, NAV 201, NAV 202, NAV 303, NAV 304W, NAV 405, NAV 406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REL 380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SOC 315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Or other courses approved by the department chair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*Special Topics related to Native American Students</w:t>
            </w:r>
          </w:p>
          <w:p w:rsid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Please note that you cannot take this minor if you major in applied indigenous studies. For further information, contact your advisor.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Pr="00344D10" w:rsidRDefault="00C77DFE" w:rsidP="00C77DFE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 xml:space="preserve">Be aware that some courses may have prerequisites that you must also take. For </w:t>
            </w:r>
            <w:r w:rsidRPr="00C77DFE">
              <w:rPr>
                <w:rFonts w:ascii="Tahoma" w:hAnsi="Tahoma" w:cs="Tahoma"/>
                <w:sz w:val="24"/>
                <w:szCs w:val="24"/>
              </w:rPr>
              <w:lastRenderedPageBreak/>
              <w:t>prerequisite information click on the course or see your advisor.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lastRenderedPageBreak/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FE" w:rsidRDefault="00C77DFE" w:rsidP="00C77DFE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Native American Studies Minor </w:t>
            </w:r>
          </w:p>
          <w:p w:rsidR="00C77DFE" w:rsidRPr="00E96742" w:rsidRDefault="00C77DFE" w:rsidP="00C77DFE"/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5"/>
              <w:gridCol w:w="2340"/>
            </w:tblGrid>
            <w:tr w:rsidR="00C77DFE" w:rsidRPr="00C77DFE" w:rsidTr="00545758">
              <w:trPr>
                <w:tblHeader/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C77DFE" w:rsidRPr="00C77DFE" w:rsidRDefault="00C77DFE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C77DFE" w:rsidRPr="00C77DFE" w:rsidRDefault="00C77DFE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</w:tr>
            <w:tr w:rsidR="00C77DFE" w:rsidRPr="00C77DFE" w:rsidTr="00545758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C77DFE" w:rsidRPr="00C77DFE" w:rsidRDefault="00C77DFE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C77DFE" w:rsidRPr="00C77DFE" w:rsidRDefault="00C77DFE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  <w:tr w:rsidR="00C77DFE" w:rsidRPr="00C77DFE" w:rsidTr="00545758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C77DFE" w:rsidRPr="00C77DFE" w:rsidRDefault="00C77DFE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Foreign Language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C77DFE" w:rsidRPr="00C77DFE" w:rsidRDefault="00C77DFE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77DFE">
                    <w:rPr>
                      <w:rFonts w:ascii="Tahoma" w:hAnsi="Tahoma" w:cs="Tahoma"/>
                      <w:sz w:val="16"/>
                      <w:szCs w:val="16"/>
                    </w:rPr>
                    <w:t>Optional</w:t>
                  </w:r>
                </w:p>
              </w:tc>
            </w:tr>
          </w:tbl>
          <w:p w:rsid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7DFE" w:rsidRPr="00C77DFE" w:rsidRDefault="00C77DFE" w:rsidP="00C77DF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77DFE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Take the following 18 units, with a Grade of "C" or better in each course: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AIS 101, AIS 202, and AIS 350 (9 units)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Select from the following (9 units):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 xml:space="preserve">AIS 201, AIS 210, AIS 290, AIS 304, </w:t>
            </w:r>
            <w:r w:rsidRPr="00B661A0">
              <w:rPr>
                <w:rFonts w:ascii="Tahoma" w:hAnsi="Tahoma" w:cs="Tahoma"/>
                <w:b/>
                <w:sz w:val="24"/>
                <w:szCs w:val="24"/>
              </w:rPr>
              <w:t>AIS 310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Pr="00C77DFE">
              <w:rPr>
                <w:rFonts w:ascii="Tahoma" w:hAnsi="Tahoma" w:cs="Tahoma"/>
                <w:sz w:val="24"/>
                <w:szCs w:val="24"/>
              </w:rPr>
              <w:t>AIS 450, AIS 470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ANT 205, ANT 303, ANT 306, ANT 351, ANT 406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ARH 361, ARH 365, ARH 440*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ENG 345*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HIS 280, HIS 293, HIS 385, HIS 386, HIS 413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MUS 365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NAV 101, NAV 102, NAV 201, NAV 202, NAV 303, NAV 304W, NAV 405, NAV 406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REL 380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SOC 315</w:t>
            </w:r>
          </w:p>
          <w:p w:rsidR="00C77DFE" w:rsidRPr="00C77DFE" w:rsidRDefault="00C77DFE" w:rsidP="00C77DFE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Or other courses approved by the department chair</w:t>
            </w: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*Special Topics related to Native American Students</w:t>
            </w:r>
          </w:p>
          <w:p w:rsid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7DFE" w:rsidRPr="00C77DFE" w:rsidRDefault="00C77DFE" w:rsidP="00C77DFE">
            <w:pPr>
              <w:rPr>
                <w:rFonts w:ascii="Tahoma" w:hAnsi="Tahoma" w:cs="Tahoma"/>
                <w:sz w:val="24"/>
                <w:szCs w:val="24"/>
              </w:rPr>
            </w:pPr>
            <w:r w:rsidRPr="00C77DFE">
              <w:rPr>
                <w:rFonts w:ascii="Tahoma" w:hAnsi="Tahoma" w:cs="Tahoma"/>
                <w:sz w:val="24"/>
                <w:szCs w:val="24"/>
              </w:rPr>
              <w:t>Please note that you cannot take this minor if you major in applied indigenous studies. For further information, contact your advisor.</w:t>
            </w:r>
          </w:p>
          <w:p w:rsidR="00C77DFE" w:rsidRPr="00C77DFE" w:rsidRDefault="00C77DFE" w:rsidP="00C77DFE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C77DFE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Be aware that some courses may have prerequisites that you must also take. For </w:t>
            </w:r>
            <w:r w:rsidRPr="00C77DFE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lastRenderedPageBreak/>
              <w:t>prerequisite information click on the course or see your advisor.</w:t>
            </w:r>
          </w:p>
          <w:p w:rsidR="0065207F" w:rsidRPr="0065207F" w:rsidRDefault="0065207F" w:rsidP="00C77DFE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5205B4" w:rsidRDefault="00154AAE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new course, AIS 310, is added an elective.  The course fills a void in the curriculum with respect to one of the core elements of the discipline of Indigenous Studies—Aesthetics and Art.</w:t>
      </w:r>
      <w:r w:rsidR="008C1EB6">
        <w:rPr>
          <w:rFonts w:ascii="Arial" w:hAnsi="Arial" w:cs="Arial"/>
          <w:b/>
          <w:sz w:val="24"/>
          <w:szCs w:val="24"/>
        </w:rPr>
        <w:br/>
      </w:r>
    </w:p>
    <w:p w:rsidR="008C1EB6" w:rsidRPr="008C1EB6" w:rsidRDefault="008C1EB6" w:rsidP="008C1EB6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8C1EB6">
        <w:rPr>
          <w:rFonts w:ascii="Arial" w:hAnsi="Arial" w:cs="Arial"/>
          <w:b/>
          <w:sz w:val="24"/>
          <w:szCs w:val="24"/>
        </w:rPr>
        <w:t>It fills a void in the plan curriculum and therefore enhances the overall program.  By offering yet another AIS course as a minor, students have more opportunities to select appropriate courses that fulfill their degree requirements in a manner that ensures steady and consistent degree progression, while choosing among degree electives that best fit their interests and professional goals.</w:t>
      </w:r>
    </w:p>
    <w:p w:rsidR="008C1EB6" w:rsidRDefault="008C1EB6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E55C8F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E55C8F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E55C8F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2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E55C8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E55C8F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Default="00C3660C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4652CE">
      <w:pPr>
        <w:rPr>
          <w:rFonts w:ascii="Arial" w:hAnsi="Arial" w:cs="Arial"/>
          <w:sz w:val="24"/>
          <w:szCs w:val="24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52434" w:rsidRPr="002B1A53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E55C8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61A0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E55C8F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</w:t>
      </w:r>
      <w:r w:rsidR="008C1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</w:t>
      </w:r>
      <w:r w:rsidR="008C1E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E55C8F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E55C8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77DFE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/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E55C8F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E55C8F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E55C8F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E55C8F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E93E74" w:rsidRDefault="00E93E74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B9339A" w:rsidP="00B66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="0057692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61A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13CBA" w:rsidRPr="00813CBA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692D08" w:rsidP="00692D08">
            <w:r>
              <w:t xml:space="preserve">Chad Hamill                                                                                                          2/18/14                      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BC07E8" w:rsidP="00344D10">
            <w:r>
              <w:rPr>
                <w:noProof/>
              </w:rPr>
              <w:drawing>
                <wp:inline distT="0" distB="0" distL="0" distR="0">
                  <wp:extent cx="2415057" cy="579123"/>
                  <wp:effectExtent l="19050" t="0" r="4293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10" cy="58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BC07E8" w:rsidP="00344D10">
            <w:r>
              <w:t>2/18/2014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BC07E8" w:rsidP="00344D10">
            <w:r>
              <w:rPr>
                <w:noProof/>
              </w:rPr>
              <w:drawing>
                <wp:inline distT="0" distB="0" distL="0" distR="0">
                  <wp:extent cx="2415057" cy="579123"/>
                  <wp:effectExtent l="19050" t="0" r="4293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10" cy="58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BC07E8" w:rsidP="00344D10">
            <w:r>
              <w:t>2/18/2014</w:t>
            </w:r>
            <w:bookmarkStart w:id="4" w:name="_GoBack"/>
            <w:bookmarkEnd w:id="4"/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E55C8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E55C8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E55C8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E55C8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Faculty Chair of Extended Campuses Curriculum Committee (Yuma, Yavapai, or </w:t>
            </w: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E55C8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E55C8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P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E55C8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E55C8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E55C8F">
        <w:rPr>
          <w:rFonts w:ascii="Arial" w:hAnsi="Arial" w:cs="Arial"/>
          <w:sz w:val="24"/>
          <w:szCs w:val="24"/>
        </w:rPr>
      </w:r>
      <w:r w:rsidR="00E55C8F">
        <w:rPr>
          <w:rFonts w:ascii="Arial" w:hAnsi="Arial" w:cs="Arial"/>
          <w:sz w:val="24"/>
          <w:szCs w:val="24"/>
        </w:rPr>
        <w:fldChar w:fldCharType="separate"/>
      </w:r>
      <w:r w:rsidR="00E55C8F" w:rsidRPr="00313AE8">
        <w:rPr>
          <w:rFonts w:ascii="Arial" w:hAnsi="Arial" w:cs="Arial"/>
          <w:sz w:val="24"/>
          <w:szCs w:val="24"/>
        </w:rPr>
        <w:fldChar w:fldCharType="end"/>
      </w:r>
    </w:p>
    <w:sectPr w:rsidR="00350A98" w:rsidRPr="00350A98" w:rsidSect="001A02A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AE" w:rsidRDefault="00154AAE" w:rsidP="00233561">
      <w:r>
        <w:separator/>
      </w:r>
    </w:p>
  </w:endnote>
  <w:endnote w:type="continuationSeparator" w:id="0">
    <w:p w:rsidR="00154AAE" w:rsidRDefault="00154AAE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E" w:rsidRDefault="00E55C8F">
    <w:pPr>
      <w:pStyle w:val="Footer"/>
    </w:pPr>
    <w:r>
      <w:rPr>
        <w:noProof/>
      </w:rPr>
      <w:pict>
        <v:rect id="Rectangle 40" o:spid="_x0000_s10241" style="position:absolute;margin-left:0;margin-top:0;width:578.95pt;height:750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QlcagCAADEBQAADgAAAGRycy9lMm9Eb2MueG1srFTbbhshEH2v1H9AvDdru3bSrLKOrESuKrmJ&#10;laTKM2bBuyowFLDX7td3YC+5NGqlqvuAGGY4wzk7MxeXB63IXjhfgyno+GREiTAcytpsC/rtYfnh&#10;EyU+MFMyBUYU9Cg8vZy/f3fR2FxMoAJVCkcQxPi8sQWtQrB5lnleCc38CVhh0CnBaRbQdNusdKxB&#10;dK2yyWh0mjXgSuuAC+/x9Lp10nnCl1LwcCulF4GoguLbQlpdWjdxzeYXLN86Zquad89g//AKzWqD&#10;SQeoaxYY2bn6NyhdcwceZDjhoDOQsuYicUA249ErNvcVsyJxQXG8HWTy/w+W3+zXjtRlQacoj2Ea&#10;/9EdqsbMVgmCZyhQY32Ocfd27SJFb1fAv3t0ZC880fBdzEE6HWORIDkktY+D2uIQCMfDs4+zyenp&#10;jBKOvnPcT85Suozl/XXrfPgsQJO4KajDhyWV2X7lQ3wAy/uQmM3AslYq/VJl0lNB1WU8S0asKXGl&#10;HNkzrIbNdpKw1E5/hbI9m43wi5QROJVgDG+tJyT0RfREvuWbmIejEjGNMndCoqLIsE0wALU5GOfC&#10;hHHK7StWir+lToARWSKRAbsDeMmpx24ZdPHxqkitMFwetdn/dHm4kTKDCcNlXRtwbwEoZNVlbuN7&#10;kVppokobKI9Ybw7aRvSWL2v8tSvmw5o57DwsQpwm4RYXqaApKHQ7SipwP986j/HYEOilpMFOLqj/&#10;sWNOUKK+GGyV8/E01nZIxnR2NkHDPfdsnnvMTl8BlscY55blaRvjg+q30oF+xKGziFnRxQzH3AXl&#10;wfXGVWgnDI4tLhaLFIbtbllYmXvLI3hUNZbuw+GROdvVd8DWuIG+61n+qszb2HjTwGIXQNapB550&#10;7fTGUZFqthtrcRY9t1PU0/Cd/wIAAP//AwBQSwMEFAAGAAgAAAAhAPMd37ndAAAABwEAAA8AAABk&#10;cnMvZG93bnJldi54bWxMj8FOwzAQRO9I/IO1SFwQtVtoCyFOhVrBoQdUWj5gGy9JhL2OYjcJf4/L&#10;BS6rWc1q5m2+Gp0VPXWh8axhOlEgiEtvGq40fBxebh9AhIhs0HomDd8UYFVcXuSYGT/wO/X7WIkU&#10;wiFDDXWMbSZlKGtyGCa+JU7ep+8cxrR2lTQdDincWTlTaiEdNpwaamxpXVP5tT85Da/bzdq+RX/f&#10;LPoN3g07qofdjdbXV+PzE4hIY/w7hjN+QociMR39iU0QVkN6JP7OszedLx9BHJOaKzUDWeTyP3/x&#10;AwAA//8DAFBLAQItABQABgAIAAAAIQDkmcPA+wAAAOEBAAATAAAAAAAAAAAAAAAAAAAAAABbQ29u&#10;dGVudF9UeXBlc10ueG1sUEsBAi0AFAAGAAgAAAAhACOyauHXAAAAlAEAAAsAAAAAAAAAAAAAAAAA&#10;LAEAAF9yZWxzLy5yZWxzUEsBAi0AFAAGAAgAAAAhAAcEJXGoAgAAxAUAAA4AAAAAAAAAAAAAAAAA&#10;LAIAAGRycy9lMm9Eb2MueG1sUEsBAi0AFAAGAAgAAAAhAPMd37ndAAAABwEAAA8AAAAAAAAAAAAA&#10;AAAAAAUAAGRycy9kb3ducmV2LnhtbFBLBQYAAAAABAAEAPMAAAAKBgAAAAA=&#10;" filled="f" strokecolor="#938953 [1614]" strokeweight="2pt">
          <v:path arrowok="t"/>
          <w10:wrap anchorx="page" anchory="page"/>
        </v:rect>
      </w:pict>
    </w:r>
    <w:r w:rsidR="00154AAE">
      <w:rPr>
        <w:color w:val="4F81BD" w:themeColor="accent1"/>
      </w:rPr>
      <w:t>Effective Fall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AE" w:rsidRDefault="00154AAE" w:rsidP="00233561">
      <w:r>
        <w:separator/>
      </w:r>
    </w:p>
  </w:footnote>
  <w:footnote w:type="continuationSeparator" w:id="0">
    <w:p w:rsidR="00154AAE" w:rsidRDefault="00154AAE" w:rsidP="0023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A3B"/>
    <w:multiLevelType w:val="hybridMultilevel"/>
    <w:tmpl w:val="6B04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53F60"/>
    <w:multiLevelType w:val="hybridMultilevel"/>
    <w:tmpl w:val="6EA4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9F9"/>
    <w:multiLevelType w:val="hybridMultilevel"/>
    <w:tmpl w:val="8D50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0DA"/>
    <w:multiLevelType w:val="hybridMultilevel"/>
    <w:tmpl w:val="9D404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91279"/>
    <w:multiLevelType w:val="hybridMultilevel"/>
    <w:tmpl w:val="84EE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C459A"/>
    <w:multiLevelType w:val="hybridMultilevel"/>
    <w:tmpl w:val="E4DA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300D2"/>
    <w:multiLevelType w:val="hybridMultilevel"/>
    <w:tmpl w:val="3478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075A72"/>
    <w:multiLevelType w:val="hybridMultilevel"/>
    <w:tmpl w:val="186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32BEC"/>
    <w:multiLevelType w:val="hybridMultilevel"/>
    <w:tmpl w:val="62B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C677F"/>
    <w:multiLevelType w:val="hybridMultilevel"/>
    <w:tmpl w:val="923C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829CD"/>
    <w:multiLevelType w:val="hybridMultilevel"/>
    <w:tmpl w:val="C070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25310C"/>
    <w:multiLevelType w:val="hybridMultilevel"/>
    <w:tmpl w:val="9BAE0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676D8C"/>
    <w:multiLevelType w:val="hybridMultilevel"/>
    <w:tmpl w:val="C1E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53C3"/>
    <w:multiLevelType w:val="hybridMultilevel"/>
    <w:tmpl w:val="7F00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85078F"/>
    <w:multiLevelType w:val="hybridMultilevel"/>
    <w:tmpl w:val="55A05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1353BB"/>
    <w:multiLevelType w:val="hybridMultilevel"/>
    <w:tmpl w:val="D4E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2F424A"/>
    <w:multiLevelType w:val="hybridMultilevel"/>
    <w:tmpl w:val="A9A6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0E7CE8"/>
    <w:multiLevelType w:val="hybridMultilevel"/>
    <w:tmpl w:val="44B0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1B7AE9"/>
    <w:multiLevelType w:val="hybridMultilevel"/>
    <w:tmpl w:val="1ABA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A63781"/>
    <w:multiLevelType w:val="hybridMultilevel"/>
    <w:tmpl w:val="18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E15A27"/>
    <w:multiLevelType w:val="hybridMultilevel"/>
    <w:tmpl w:val="8F12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246FC7"/>
    <w:multiLevelType w:val="hybridMultilevel"/>
    <w:tmpl w:val="E89C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DA1807"/>
    <w:multiLevelType w:val="hybridMultilevel"/>
    <w:tmpl w:val="F01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9"/>
  </w:num>
  <w:num w:numId="5">
    <w:abstractNumId w:val="15"/>
  </w:num>
  <w:num w:numId="6">
    <w:abstractNumId w:val="8"/>
  </w:num>
  <w:num w:numId="7">
    <w:abstractNumId w:val="22"/>
  </w:num>
  <w:num w:numId="8">
    <w:abstractNumId w:val="20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1"/>
  </w:num>
  <w:num w:numId="18">
    <w:abstractNumId w:val="2"/>
  </w:num>
  <w:num w:numId="19">
    <w:abstractNumId w:val="21"/>
  </w:num>
  <w:num w:numId="20">
    <w:abstractNumId w:val="11"/>
  </w:num>
  <w:num w:numId="21">
    <w:abstractNumId w:val="7"/>
  </w:num>
  <w:num w:numId="22">
    <w:abstractNumId w:val="14"/>
  </w:num>
  <w:num w:numId="23">
    <w:abstractNumId w:val="5"/>
  </w:num>
  <w:num w:numId="24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41842"/>
    <w:rsid w:val="000514D4"/>
    <w:rsid w:val="00051D13"/>
    <w:rsid w:val="00083DF5"/>
    <w:rsid w:val="000A3ADE"/>
    <w:rsid w:val="000B2CE9"/>
    <w:rsid w:val="000D0D4F"/>
    <w:rsid w:val="000D1F02"/>
    <w:rsid w:val="000F4823"/>
    <w:rsid w:val="00100C2D"/>
    <w:rsid w:val="00103A43"/>
    <w:rsid w:val="00111B8E"/>
    <w:rsid w:val="00146941"/>
    <w:rsid w:val="00154AAE"/>
    <w:rsid w:val="00167158"/>
    <w:rsid w:val="001A02A7"/>
    <w:rsid w:val="001A0823"/>
    <w:rsid w:val="001C3342"/>
    <w:rsid w:val="001F3265"/>
    <w:rsid w:val="001F3DAC"/>
    <w:rsid w:val="00203C77"/>
    <w:rsid w:val="00231555"/>
    <w:rsid w:val="00233561"/>
    <w:rsid w:val="00241E16"/>
    <w:rsid w:val="00243B99"/>
    <w:rsid w:val="00255F08"/>
    <w:rsid w:val="00273036"/>
    <w:rsid w:val="00287DE0"/>
    <w:rsid w:val="002A39CA"/>
    <w:rsid w:val="002A6916"/>
    <w:rsid w:val="002A7477"/>
    <w:rsid w:val="002B1A53"/>
    <w:rsid w:val="002B2123"/>
    <w:rsid w:val="002D768B"/>
    <w:rsid w:val="003151BF"/>
    <w:rsid w:val="00332F9A"/>
    <w:rsid w:val="0034234E"/>
    <w:rsid w:val="00344D10"/>
    <w:rsid w:val="0034531C"/>
    <w:rsid w:val="00350A98"/>
    <w:rsid w:val="00366F0A"/>
    <w:rsid w:val="003840CC"/>
    <w:rsid w:val="003A6967"/>
    <w:rsid w:val="003D017F"/>
    <w:rsid w:val="003D59D8"/>
    <w:rsid w:val="00400980"/>
    <w:rsid w:val="00430E14"/>
    <w:rsid w:val="00440707"/>
    <w:rsid w:val="00444B12"/>
    <w:rsid w:val="004652CE"/>
    <w:rsid w:val="004A4315"/>
    <w:rsid w:val="004F3222"/>
    <w:rsid w:val="004F7394"/>
    <w:rsid w:val="0050399D"/>
    <w:rsid w:val="00504F93"/>
    <w:rsid w:val="005205B4"/>
    <w:rsid w:val="00523703"/>
    <w:rsid w:val="00527409"/>
    <w:rsid w:val="00552434"/>
    <w:rsid w:val="005735CD"/>
    <w:rsid w:val="00576921"/>
    <w:rsid w:val="0058038B"/>
    <w:rsid w:val="005C46C1"/>
    <w:rsid w:val="005C7D6A"/>
    <w:rsid w:val="005E15CA"/>
    <w:rsid w:val="005E4D2D"/>
    <w:rsid w:val="005E5238"/>
    <w:rsid w:val="0062365E"/>
    <w:rsid w:val="0065207F"/>
    <w:rsid w:val="00692D08"/>
    <w:rsid w:val="006A3149"/>
    <w:rsid w:val="006C069B"/>
    <w:rsid w:val="006F05DF"/>
    <w:rsid w:val="006F14EB"/>
    <w:rsid w:val="006F5FFA"/>
    <w:rsid w:val="00716ABB"/>
    <w:rsid w:val="00753AFA"/>
    <w:rsid w:val="00761DF6"/>
    <w:rsid w:val="0077023D"/>
    <w:rsid w:val="007A1971"/>
    <w:rsid w:val="007A45A6"/>
    <w:rsid w:val="007B143C"/>
    <w:rsid w:val="007D1975"/>
    <w:rsid w:val="007D1B84"/>
    <w:rsid w:val="00811C35"/>
    <w:rsid w:val="00813CBA"/>
    <w:rsid w:val="0081690C"/>
    <w:rsid w:val="00893A71"/>
    <w:rsid w:val="008B1926"/>
    <w:rsid w:val="008C1EB6"/>
    <w:rsid w:val="008F40EF"/>
    <w:rsid w:val="008F62B2"/>
    <w:rsid w:val="00910769"/>
    <w:rsid w:val="009213C1"/>
    <w:rsid w:val="009428E5"/>
    <w:rsid w:val="009565C5"/>
    <w:rsid w:val="00967B62"/>
    <w:rsid w:val="00971EBF"/>
    <w:rsid w:val="00971F61"/>
    <w:rsid w:val="00984F07"/>
    <w:rsid w:val="009857E6"/>
    <w:rsid w:val="0098781F"/>
    <w:rsid w:val="009B3949"/>
    <w:rsid w:val="009C1083"/>
    <w:rsid w:val="009C75F7"/>
    <w:rsid w:val="009D4DA8"/>
    <w:rsid w:val="009F73DB"/>
    <w:rsid w:val="00A1039F"/>
    <w:rsid w:val="00A27C28"/>
    <w:rsid w:val="00A40DC3"/>
    <w:rsid w:val="00A9284E"/>
    <w:rsid w:val="00AA0C94"/>
    <w:rsid w:val="00AA5472"/>
    <w:rsid w:val="00AB49C0"/>
    <w:rsid w:val="00AB7DBA"/>
    <w:rsid w:val="00AD50F2"/>
    <w:rsid w:val="00AD6D73"/>
    <w:rsid w:val="00B05C45"/>
    <w:rsid w:val="00B074C9"/>
    <w:rsid w:val="00B079BE"/>
    <w:rsid w:val="00B14B0F"/>
    <w:rsid w:val="00B53666"/>
    <w:rsid w:val="00B661A0"/>
    <w:rsid w:val="00B841EA"/>
    <w:rsid w:val="00B91773"/>
    <w:rsid w:val="00B9339A"/>
    <w:rsid w:val="00BA27EA"/>
    <w:rsid w:val="00BA2FCA"/>
    <w:rsid w:val="00BA55E7"/>
    <w:rsid w:val="00BB2CF6"/>
    <w:rsid w:val="00BC07E8"/>
    <w:rsid w:val="00BC135B"/>
    <w:rsid w:val="00BE0E14"/>
    <w:rsid w:val="00C06F95"/>
    <w:rsid w:val="00C33312"/>
    <w:rsid w:val="00C3660C"/>
    <w:rsid w:val="00C421AD"/>
    <w:rsid w:val="00C42CC0"/>
    <w:rsid w:val="00C56A0D"/>
    <w:rsid w:val="00C6101A"/>
    <w:rsid w:val="00C77DFE"/>
    <w:rsid w:val="00CA6369"/>
    <w:rsid w:val="00CC1300"/>
    <w:rsid w:val="00CD7A67"/>
    <w:rsid w:val="00CE4E0C"/>
    <w:rsid w:val="00CF30DD"/>
    <w:rsid w:val="00D0285C"/>
    <w:rsid w:val="00D1166C"/>
    <w:rsid w:val="00D27B18"/>
    <w:rsid w:val="00D633D3"/>
    <w:rsid w:val="00D7373E"/>
    <w:rsid w:val="00D928DB"/>
    <w:rsid w:val="00DA02C7"/>
    <w:rsid w:val="00DD1AD9"/>
    <w:rsid w:val="00DF51D6"/>
    <w:rsid w:val="00DF6505"/>
    <w:rsid w:val="00DF65DA"/>
    <w:rsid w:val="00E3390A"/>
    <w:rsid w:val="00E55C8F"/>
    <w:rsid w:val="00E71D8E"/>
    <w:rsid w:val="00E93E74"/>
    <w:rsid w:val="00EA38F7"/>
    <w:rsid w:val="00EB126C"/>
    <w:rsid w:val="00EC1384"/>
    <w:rsid w:val="00EC2F62"/>
    <w:rsid w:val="00EE0170"/>
    <w:rsid w:val="00EE0213"/>
    <w:rsid w:val="00EE0C3A"/>
    <w:rsid w:val="00EE2807"/>
    <w:rsid w:val="00F00CEC"/>
    <w:rsid w:val="00F013A5"/>
    <w:rsid w:val="00F043C0"/>
    <w:rsid w:val="00F04E14"/>
    <w:rsid w:val="00F1711F"/>
    <w:rsid w:val="00F2564A"/>
    <w:rsid w:val="00F30A36"/>
    <w:rsid w:val="00F54A7C"/>
    <w:rsid w:val="00F570EA"/>
    <w:rsid w:val="00F70687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4.nau.edu/avpaa/timelines/1314Effective.xl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4.nau.edu/avpaa/Assessment/ProgramLearningOutcomesPDF_0907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D4ACD-6535-4AD9-92F5-7248E3A2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2</cp:revision>
  <dcterms:created xsi:type="dcterms:W3CDTF">2014-02-18T20:28:00Z</dcterms:created>
  <dcterms:modified xsi:type="dcterms:W3CDTF">2014-02-18T20:28:00Z</dcterms:modified>
</cp:coreProperties>
</file>