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EC2D9A" w:rsidP="00626D8F">
            <w:r>
              <w:rPr>
                <w:rFonts w:ascii="Arial" w:hAnsi="Arial" w:cs="Arial"/>
                <w:b/>
              </w:rPr>
              <w:fldChar w:fldCharType="begin">
                <w:ffData>
                  <w:name w:val="Check3"/>
                  <w:enabled/>
                  <w:calcOnExit w:val="0"/>
                  <w:checkBox>
                    <w:sizeAuto/>
                    <w:default w:val="1"/>
                  </w:checkBox>
                </w:ffData>
              </w:fldChar>
            </w:r>
            <w:bookmarkStart w:id="1" w:name="Check3"/>
            <w:r w:rsidR="00B37B1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1F595A" w:rsidP="001A3882">
            <w:pPr>
              <w:pStyle w:val="BodyText"/>
              <w:rPr>
                <w:rFonts w:ascii="Arial" w:hAnsi="Arial" w:cs="Arial"/>
                <w:b/>
                <w:sz w:val="24"/>
              </w:rPr>
            </w:pPr>
            <w:r>
              <w:rPr>
                <w:rFonts w:ascii="Arial" w:hAnsi="Arial" w:cs="Arial"/>
                <w:b/>
                <w:sz w:val="24"/>
              </w:rPr>
              <w:t xml:space="preserve">ARH </w:t>
            </w:r>
            <w:r w:rsidR="001A3882">
              <w:rPr>
                <w:rFonts w:ascii="Arial" w:hAnsi="Arial" w:cs="Arial"/>
                <w:b/>
                <w:sz w:val="24"/>
              </w:rPr>
              <w:t>3</w:t>
            </w:r>
            <w:r>
              <w:rPr>
                <w:rFonts w:ascii="Arial" w:hAnsi="Arial" w:cs="Arial"/>
                <w:b/>
                <w:sz w:val="24"/>
              </w:rPr>
              <w:t>50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E1048D" w:rsidRDefault="00E1048D"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E1048D" w:rsidRDefault="00E1048D" w:rsidP="004008DA">
            <w:pPr>
              <w:pStyle w:val="Heading1"/>
              <w:outlineLvl w:val="0"/>
              <w:rPr>
                <w:rFonts w:ascii="Arial" w:hAnsi="Arial" w:cs="Arial"/>
                <w:bCs w:val="0"/>
                <w:sz w:val="24"/>
              </w:rPr>
            </w:pPr>
          </w:p>
          <w:p w:rsidR="006A3881" w:rsidRPr="00B71D1D" w:rsidRDefault="001F595A"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252CE6" w:rsidRDefault="00252CE6" w:rsidP="004008DA">
            <w:pPr>
              <w:pStyle w:val="Heading1"/>
              <w:outlineLvl w:val="0"/>
              <w:rPr>
                <w:rFonts w:ascii="Arial" w:hAnsi="Arial" w:cs="Arial"/>
                <w:b w:val="0"/>
                <w:bCs w:val="0"/>
                <w:sz w:val="24"/>
              </w:rPr>
            </w:pPr>
          </w:p>
          <w:p w:rsidR="00E1048D" w:rsidRDefault="00E1048D"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1F595A" w:rsidRDefault="001F595A" w:rsidP="004008DA">
            <w:pPr>
              <w:pStyle w:val="Heading1"/>
              <w:outlineLvl w:val="0"/>
              <w:rPr>
                <w:rFonts w:ascii="Arial" w:hAnsi="Arial" w:cs="Arial"/>
                <w:bCs w:val="0"/>
                <w:sz w:val="24"/>
              </w:rPr>
            </w:pPr>
          </w:p>
          <w:p w:rsidR="006A3881" w:rsidRPr="00B71D1D" w:rsidRDefault="00E1048D" w:rsidP="004008DA">
            <w:pPr>
              <w:pStyle w:val="Heading1"/>
              <w:outlineLvl w:val="0"/>
              <w:rPr>
                <w:rFonts w:ascii="Arial" w:hAnsi="Arial" w:cs="Arial"/>
                <w:bCs w:val="0"/>
                <w:sz w:val="24"/>
              </w:rPr>
            </w:pPr>
            <w:r>
              <w:rPr>
                <w:rFonts w:ascii="Arial" w:hAnsi="Arial" w:cs="Arial"/>
                <w:bCs w:val="0"/>
                <w:sz w:val="24"/>
              </w:rPr>
              <w:t>Comparative Cultural Studies</w:t>
            </w:r>
            <w:r w:rsidR="001F595A">
              <w:rPr>
                <w:rFonts w:ascii="Arial" w:hAnsi="Arial" w:cs="Arial"/>
                <w:bCs w:val="0"/>
                <w:sz w:val="24"/>
              </w:rPr>
              <w:t xml:space="preserv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BA3D2D" w:rsidRDefault="00BA3D2D"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In the process of participating in this course, students</w:t>
            </w:r>
          </w:p>
          <w:p w:rsidR="00BA3D2D" w:rsidRDefault="00BA3D2D"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 xml:space="preserve">will have an opportunity to develop and to </w:t>
            </w:r>
          </w:p>
          <w:p w:rsidR="001F595A" w:rsidRDefault="00BA3D2D"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 xml:space="preserve">demonstrate the following: </w:t>
            </w:r>
          </w:p>
          <w:p w:rsidR="00BA3D2D" w:rsidRPr="00BA3D2D" w:rsidRDefault="00BA3D2D" w:rsidP="00BA3D2D">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BA3D2D">
              <w:rPr>
                <w:rFonts w:ascii="Arial" w:hAnsi="Arial" w:cs="Arial"/>
              </w:rPr>
              <w:t xml:space="preserve">A foundational understanding of the history and function of museums of various types. </w:t>
            </w:r>
          </w:p>
          <w:p w:rsidR="00BA3D2D" w:rsidRPr="00BA3D2D" w:rsidRDefault="00BA3D2D" w:rsidP="00BA3D2D">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BA3D2D">
              <w:rPr>
                <w:rFonts w:ascii="Arial" w:hAnsi="Arial" w:cs="Arial"/>
              </w:rPr>
              <w:t xml:space="preserve">A foundational understanding of key concepts in museum studies. </w:t>
            </w:r>
          </w:p>
          <w:p w:rsidR="00BA3D2D" w:rsidRPr="00BA3D2D" w:rsidRDefault="00BA3D2D" w:rsidP="00BA3D2D">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BA3D2D">
              <w:rPr>
                <w:rFonts w:ascii="Arial" w:hAnsi="Arial" w:cs="Arial"/>
              </w:rPr>
              <w:t xml:space="preserve">The ability to write and speak in a clear, coherent, </w:t>
            </w:r>
          </w:p>
          <w:p w:rsidR="00BA3D2D" w:rsidRPr="00BA3D2D" w:rsidRDefault="00BA3D2D" w:rsidP="00BA3D2D">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BA3D2D">
              <w:rPr>
                <w:rFonts w:ascii="Arial" w:hAnsi="Arial" w:cs="Arial"/>
              </w:rPr>
              <w:t xml:space="preserve">and cohesive fashion, demonstrating an </w:t>
            </w:r>
          </w:p>
          <w:p w:rsidR="00BA3D2D" w:rsidRPr="00BA3D2D" w:rsidRDefault="00BA3D2D" w:rsidP="00BA3D2D">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r w:rsidRPr="00BA3D2D">
              <w:rPr>
                <w:rFonts w:ascii="Arial" w:hAnsi="Arial" w:cs="Arial"/>
              </w:rPr>
              <w:t xml:space="preserve">understanding of basic </w:t>
            </w:r>
            <w:proofErr w:type="spellStart"/>
            <w:r w:rsidRPr="00BA3D2D">
              <w:rPr>
                <w:rFonts w:ascii="Arial" w:hAnsi="Arial" w:cs="Arial"/>
              </w:rPr>
              <w:t>museological</w:t>
            </w:r>
            <w:proofErr w:type="spellEnd"/>
            <w:r w:rsidRPr="00BA3D2D">
              <w:rPr>
                <w:rFonts w:ascii="Arial" w:hAnsi="Arial" w:cs="Arial"/>
              </w:rPr>
              <w:t xml:space="preserve"> concepts, in </w:t>
            </w:r>
          </w:p>
          <w:p w:rsidR="00BA3D2D" w:rsidRPr="00BA3D2D" w:rsidRDefault="00BA3D2D" w:rsidP="00BA3D2D">
            <w:pPr>
              <w:pStyle w:val="ListParagraph"/>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360" w:right="-360"/>
              <w:rPr>
                <w:rFonts w:ascii="Arial" w:hAnsi="Arial" w:cs="Arial"/>
              </w:rPr>
            </w:pPr>
            <w:proofErr w:type="gramStart"/>
            <w:r w:rsidRPr="00BA3D2D">
              <w:rPr>
                <w:rFonts w:ascii="Arial" w:hAnsi="Arial" w:cs="Arial"/>
              </w:rPr>
              <w:t>all</w:t>
            </w:r>
            <w:proofErr w:type="gramEnd"/>
            <w:r w:rsidRPr="00BA3D2D">
              <w:rPr>
                <w:rFonts w:ascii="Arial" w:hAnsi="Arial" w:cs="Arial"/>
              </w:rPr>
              <w:t xml:space="preserve"> written and oral contexts. </w:t>
            </w:r>
          </w:p>
          <w:p w:rsidR="00BA3D2D" w:rsidRPr="00BA3D2D" w:rsidRDefault="00BA3D2D" w:rsidP="00BA3D2D">
            <w:pPr>
              <w:pStyle w:val="ListParagraph"/>
              <w:numPr>
                <w:ilvl w:val="0"/>
                <w:numId w:val="1"/>
              </w:num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right="-360"/>
              <w:rPr>
                <w:rFonts w:ascii="Arial" w:hAnsi="Arial" w:cs="Arial"/>
              </w:rPr>
            </w:pPr>
            <w:r w:rsidRPr="00BA3D2D">
              <w:rPr>
                <w:rFonts w:ascii="Arial" w:hAnsi="Arial" w:cs="Arial"/>
              </w:rPr>
              <w:t xml:space="preserve">The ability to apply key concepts of </w:t>
            </w:r>
            <w:proofErr w:type="spellStart"/>
            <w:r w:rsidRPr="00BA3D2D">
              <w:rPr>
                <w:rFonts w:ascii="Arial" w:hAnsi="Arial" w:cs="Arial"/>
              </w:rPr>
              <w:t>museological</w:t>
            </w:r>
            <w:proofErr w:type="spellEnd"/>
            <w:r w:rsidRPr="00BA3D2D">
              <w:rPr>
                <w:rFonts w:ascii="Arial" w:hAnsi="Arial" w:cs="Arial"/>
              </w:rPr>
              <w:t xml:space="preserve"> discourse to analysis of exhibitions viewed both </w:t>
            </w:r>
          </w:p>
          <w:p w:rsidR="00BA3D2D" w:rsidRPr="00BA3D2D" w:rsidRDefault="002775FF" w:rsidP="00BA3D2D">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rPr>
            </w:pPr>
            <w:r>
              <w:rPr>
                <w:rFonts w:ascii="Arial" w:hAnsi="Arial" w:cs="Arial"/>
              </w:rPr>
              <w:t xml:space="preserve">       </w:t>
            </w:r>
            <w:proofErr w:type="gramStart"/>
            <w:r w:rsidR="00BA3D2D">
              <w:rPr>
                <w:rFonts w:ascii="Arial" w:hAnsi="Arial" w:cs="Arial"/>
              </w:rPr>
              <w:t>in-class</w:t>
            </w:r>
            <w:proofErr w:type="gramEnd"/>
            <w:r w:rsidR="00BA3D2D">
              <w:rPr>
                <w:rFonts w:ascii="Arial" w:hAnsi="Arial" w:cs="Arial"/>
              </w:rPr>
              <w:t xml:space="preserve"> and in the course of field trips. </w:t>
            </w:r>
          </w:p>
          <w:p w:rsidR="003E4FBF" w:rsidRDefault="003E4FBF" w:rsidP="00BD0A8C"/>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1048D" w:rsidRDefault="008C0DD3">
            <w:pPr>
              <w:rPr>
                <w:rFonts w:ascii="Arial" w:hAnsi="Arial" w:cs="Arial"/>
                <w:b/>
                <w:sz w:val="24"/>
                <w:szCs w:val="24"/>
              </w:rPr>
            </w:pPr>
            <w:r w:rsidRPr="008C0DD3">
              <w:rPr>
                <w:rFonts w:ascii="Arial" w:hAnsi="Arial" w:cs="Arial"/>
                <w:b/>
                <w:sz w:val="24"/>
                <w:szCs w:val="24"/>
              </w:rPr>
              <w:t>UNCHANGED</w:t>
            </w:r>
          </w:p>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sz w:val="24"/>
                <w:szCs w:val="24"/>
              </w:rPr>
            </w:pPr>
          </w:p>
          <w:p w:rsidR="008C0DD3" w:rsidRPr="008C0DD3" w:rsidRDefault="001F595A"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 xml:space="preserve">ARH </w:t>
            </w:r>
            <w:r w:rsidR="001A3882">
              <w:rPr>
                <w:rFonts w:ascii="Tahoma" w:eastAsiaTheme="minorHAnsi" w:hAnsi="Tahoma" w:cs="Tahoma"/>
                <w:b/>
                <w:color w:val="1F497D" w:themeColor="text2"/>
                <w:sz w:val="24"/>
                <w:szCs w:val="24"/>
              </w:rPr>
              <w:t>3</w:t>
            </w:r>
            <w:r>
              <w:rPr>
                <w:rFonts w:ascii="Tahoma" w:eastAsiaTheme="minorHAnsi" w:hAnsi="Tahoma" w:cs="Tahoma"/>
                <w:b/>
                <w:color w:val="1F497D" w:themeColor="text2"/>
                <w:sz w:val="24"/>
                <w:szCs w:val="24"/>
              </w:rPr>
              <w:t>50</w:t>
            </w:r>
            <w:r w:rsidR="00B71D1D"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w:t>
            </w:r>
            <w:r w:rsidR="001A3882">
              <w:rPr>
                <w:rFonts w:ascii="Tahoma" w:eastAsiaTheme="minorHAnsi" w:hAnsi="Tahoma" w:cs="Tahoma"/>
                <w:b/>
                <w:color w:val="1F497D" w:themeColor="text2"/>
                <w:sz w:val="24"/>
                <w:szCs w:val="24"/>
              </w:rPr>
              <w:t>MUSEUM STUDIES</w:t>
            </w:r>
            <w:r>
              <w:rPr>
                <w:rFonts w:ascii="Tahoma" w:eastAsiaTheme="minorHAnsi" w:hAnsi="Tahoma" w:cs="Tahoma"/>
                <w:b/>
                <w:color w:val="1F497D" w:themeColor="text2"/>
                <w:sz w:val="24"/>
                <w:szCs w:val="24"/>
              </w:rPr>
              <w:t xml:space="preserve"> </w:t>
            </w:r>
            <w:r w:rsidR="008C0DD3" w:rsidRPr="008C0DD3">
              <w:rPr>
                <w:rFonts w:ascii="Tahoma" w:eastAsiaTheme="minorHAnsi" w:hAnsi="Tahoma" w:cs="Tahoma"/>
                <w:b/>
                <w:color w:val="1F497D" w:themeColor="text2"/>
                <w:sz w:val="24"/>
                <w:szCs w:val="24"/>
              </w:rPr>
              <w:t xml:space="preserve"> (3) </w:t>
            </w:r>
          </w:p>
          <w:p w:rsidR="001A3882" w:rsidRPr="001A3882" w:rsidRDefault="001A3882" w:rsidP="001A3882">
            <w:pPr>
              <w:widowControl w:val="0"/>
              <w:autoSpaceDE w:val="0"/>
              <w:autoSpaceDN w:val="0"/>
              <w:adjustRightInd w:val="0"/>
              <w:rPr>
                <w:rFonts w:ascii="Tahoma" w:eastAsiaTheme="minorHAnsi" w:hAnsi="Tahoma" w:cs="Tahoma"/>
                <w:color w:val="2F2F2F"/>
                <w:sz w:val="24"/>
                <w:szCs w:val="24"/>
              </w:rPr>
            </w:pPr>
            <w:r w:rsidRPr="001A3882">
              <w:rPr>
                <w:rFonts w:ascii="Tahoma" w:eastAsiaTheme="minorHAnsi" w:hAnsi="Tahoma" w:cs="Tahoma"/>
                <w:color w:val="2F2F2F"/>
                <w:sz w:val="24"/>
                <w:szCs w:val="24"/>
              </w:rPr>
              <w:t>Description: Introduction to the history of museums and museum practice. Letter grade only. Course fee required.</w:t>
            </w:r>
          </w:p>
          <w:p w:rsidR="001A3882" w:rsidRPr="001A3882" w:rsidRDefault="001A3882" w:rsidP="001A3882">
            <w:pPr>
              <w:widowControl w:val="0"/>
              <w:autoSpaceDE w:val="0"/>
              <w:autoSpaceDN w:val="0"/>
              <w:adjustRightInd w:val="0"/>
              <w:rPr>
                <w:rFonts w:ascii="Tahoma" w:eastAsiaTheme="minorHAnsi" w:hAnsi="Tahoma" w:cs="Tahoma"/>
                <w:color w:val="2F2F2F"/>
                <w:sz w:val="24"/>
                <w:szCs w:val="24"/>
              </w:rPr>
            </w:pPr>
          </w:p>
          <w:p w:rsidR="00B71D1D" w:rsidRPr="00B71D1D" w:rsidRDefault="001A3882" w:rsidP="001A3882">
            <w:pPr>
              <w:rPr>
                <w:rFonts w:ascii="Arial" w:hAnsi="Arial" w:cs="Arial"/>
                <w:b/>
              </w:rPr>
            </w:pPr>
            <w:r w:rsidRPr="001A3882">
              <w:rPr>
                <w:rFonts w:ascii="Tahoma" w:eastAsiaTheme="minorHAnsi" w:hAnsi="Tahoma" w:cs="Tahoma"/>
                <w:color w:val="2F2F2F"/>
                <w:sz w:val="24"/>
                <w:szCs w:val="24"/>
              </w:rPr>
              <w:t>Units: 3</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A3882" w:rsidRPr="008C0DD3" w:rsidRDefault="001A3882" w:rsidP="001A3882">
            <w:pPr>
              <w:widowControl w:val="0"/>
              <w:autoSpaceDE w:val="0"/>
              <w:autoSpaceDN w:val="0"/>
              <w:adjustRightInd w:val="0"/>
              <w:rPr>
                <w:rFonts w:ascii="Tahoma" w:eastAsiaTheme="minorHAnsi" w:hAnsi="Tahoma" w:cs="Tahoma"/>
                <w:b/>
                <w:color w:val="1F497D" w:themeColor="text2"/>
                <w:sz w:val="24"/>
                <w:szCs w:val="24"/>
              </w:rPr>
            </w:pPr>
            <w:r w:rsidRPr="001F595A">
              <w:rPr>
                <w:rFonts w:ascii="Tahoma" w:eastAsiaTheme="minorHAnsi" w:hAnsi="Tahoma" w:cs="Tahoma"/>
                <w:b/>
                <w:strike/>
                <w:color w:val="FF0000"/>
                <w:sz w:val="24"/>
                <w:szCs w:val="24"/>
              </w:rPr>
              <w:t>ARH</w:t>
            </w:r>
            <w:r>
              <w:rPr>
                <w:rFonts w:ascii="Tahoma" w:eastAsiaTheme="minorHAnsi" w:hAnsi="Tahoma" w:cs="Tahoma"/>
                <w:b/>
                <w:color w:val="1F497D" w:themeColor="text2"/>
                <w:sz w:val="24"/>
                <w:szCs w:val="24"/>
              </w:rPr>
              <w:t xml:space="preserve"> </w:t>
            </w:r>
            <w:r w:rsidRPr="001F595A">
              <w:rPr>
                <w:rFonts w:ascii="Tahoma" w:eastAsiaTheme="minorHAnsi" w:hAnsi="Tahoma" w:cs="Tahoma"/>
                <w:b/>
                <w:color w:val="1F497D" w:themeColor="text2"/>
                <w:sz w:val="24"/>
                <w:szCs w:val="24"/>
                <w:highlight w:val="yellow"/>
              </w:rPr>
              <w:t>MST</w:t>
            </w:r>
            <w:r>
              <w:rPr>
                <w:rFonts w:ascii="Tahoma" w:eastAsiaTheme="minorHAnsi" w:hAnsi="Tahoma" w:cs="Tahoma"/>
                <w:b/>
                <w:color w:val="1F497D" w:themeColor="text2"/>
                <w:sz w:val="24"/>
                <w:szCs w:val="24"/>
              </w:rPr>
              <w:t xml:space="preserve"> 350</w:t>
            </w:r>
            <w:r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MUSEUM STUDIES </w:t>
            </w:r>
            <w:r w:rsidRPr="008C0DD3">
              <w:rPr>
                <w:rFonts w:ascii="Tahoma" w:eastAsiaTheme="minorHAnsi" w:hAnsi="Tahoma" w:cs="Tahoma"/>
                <w:b/>
                <w:color w:val="1F497D" w:themeColor="text2"/>
                <w:sz w:val="24"/>
                <w:szCs w:val="24"/>
              </w:rPr>
              <w:t xml:space="preserve"> (3) </w:t>
            </w:r>
          </w:p>
          <w:p w:rsidR="001A3882" w:rsidRPr="001A3882" w:rsidRDefault="001A3882" w:rsidP="001A3882">
            <w:pPr>
              <w:widowControl w:val="0"/>
              <w:autoSpaceDE w:val="0"/>
              <w:autoSpaceDN w:val="0"/>
              <w:adjustRightInd w:val="0"/>
              <w:rPr>
                <w:rFonts w:ascii="Tahoma" w:eastAsiaTheme="minorHAnsi" w:hAnsi="Tahoma" w:cs="Tahoma"/>
                <w:color w:val="2F2F2F"/>
                <w:sz w:val="24"/>
                <w:szCs w:val="24"/>
              </w:rPr>
            </w:pPr>
            <w:r w:rsidRPr="001A3882">
              <w:rPr>
                <w:rFonts w:ascii="Tahoma" w:eastAsiaTheme="minorHAnsi" w:hAnsi="Tahoma" w:cs="Tahoma"/>
                <w:color w:val="2F2F2F"/>
                <w:sz w:val="24"/>
                <w:szCs w:val="24"/>
              </w:rPr>
              <w:t>Description: Introduction to the history of museums and museum practice. Letter grade only. Course fee required.</w:t>
            </w:r>
          </w:p>
          <w:p w:rsidR="001A3882" w:rsidRPr="001A3882" w:rsidRDefault="001A3882" w:rsidP="001A3882">
            <w:pPr>
              <w:widowControl w:val="0"/>
              <w:autoSpaceDE w:val="0"/>
              <w:autoSpaceDN w:val="0"/>
              <w:adjustRightInd w:val="0"/>
              <w:rPr>
                <w:rFonts w:ascii="Tahoma" w:eastAsiaTheme="minorHAnsi" w:hAnsi="Tahoma" w:cs="Tahoma"/>
                <w:color w:val="2F2F2F"/>
                <w:sz w:val="24"/>
                <w:szCs w:val="24"/>
              </w:rPr>
            </w:pPr>
          </w:p>
          <w:p w:rsidR="00252CE6" w:rsidRDefault="001A3882" w:rsidP="001A3882">
            <w:pPr>
              <w:widowControl w:val="0"/>
              <w:autoSpaceDE w:val="0"/>
              <w:autoSpaceDN w:val="0"/>
              <w:adjustRightInd w:val="0"/>
              <w:rPr>
                <w:rFonts w:ascii="Tahoma" w:eastAsiaTheme="minorHAnsi" w:hAnsi="Tahoma" w:cs="Tahoma"/>
                <w:color w:val="2F2F2F"/>
                <w:sz w:val="24"/>
                <w:szCs w:val="24"/>
              </w:rPr>
            </w:pPr>
            <w:r w:rsidRPr="001A3882">
              <w:rPr>
                <w:rFonts w:ascii="Tahoma" w:eastAsiaTheme="minorHAnsi" w:hAnsi="Tahoma" w:cs="Tahoma"/>
                <w:color w:val="2F2F2F"/>
                <w:sz w:val="24"/>
                <w:szCs w:val="24"/>
              </w:rPr>
              <w:t>Units: 3</w:t>
            </w:r>
          </w:p>
          <w:p w:rsidR="000264C1" w:rsidRDefault="000264C1" w:rsidP="001A3882">
            <w:pPr>
              <w:widowControl w:val="0"/>
              <w:autoSpaceDE w:val="0"/>
              <w:autoSpaceDN w:val="0"/>
              <w:adjustRightInd w:val="0"/>
              <w:rPr>
                <w:rFonts w:ascii="Tahoma" w:eastAsiaTheme="minorHAnsi" w:hAnsi="Tahoma" w:cs="Tahoma"/>
                <w:color w:val="2F2F2F"/>
                <w:sz w:val="24"/>
                <w:szCs w:val="24"/>
              </w:rPr>
            </w:pPr>
          </w:p>
          <w:p w:rsidR="000264C1" w:rsidRPr="000264C1" w:rsidRDefault="000264C1" w:rsidP="001A3882">
            <w:pPr>
              <w:widowControl w:val="0"/>
              <w:autoSpaceDE w:val="0"/>
              <w:autoSpaceDN w:val="0"/>
              <w:adjustRightInd w:val="0"/>
              <w:rPr>
                <w:rFonts w:ascii="Arial" w:eastAsiaTheme="minorHAnsi" w:hAnsi="Arial" w:cs="Arial"/>
                <w:b/>
                <w:color w:val="2F2F2F"/>
              </w:rPr>
            </w:pPr>
            <w:r w:rsidRPr="000264C1">
              <w:rPr>
                <w:rFonts w:ascii="Tahoma" w:eastAsiaTheme="minorHAnsi" w:hAnsi="Tahoma" w:cs="Tahoma"/>
                <w:b/>
                <w:color w:val="2F2F2F"/>
                <w:sz w:val="24"/>
                <w:szCs w:val="24"/>
              </w:rPr>
              <w:t>Prerequisite:  MST 250</w:t>
            </w: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1F595A" w:rsidRDefault="001F595A">
      <w:pPr>
        <w:rPr>
          <w:rFonts w:ascii="Arial" w:hAnsi="Arial" w:cs="Arial"/>
        </w:rPr>
      </w:pP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644C02" w:rsidRDefault="001F595A" w:rsidP="009F08E6">
      <w:pPr>
        <w:shd w:val="clear" w:color="auto" w:fill="D9D9D9" w:themeFill="background1" w:themeFillShade="D9"/>
        <w:rPr>
          <w:rFonts w:ascii="Arial" w:hAnsi="Arial" w:cs="Arial"/>
          <w:b/>
        </w:rPr>
      </w:pPr>
      <w:r w:rsidRPr="001F595A">
        <w:rPr>
          <w:rFonts w:ascii="Arial" w:hAnsi="Arial" w:cs="Arial"/>
          <w:b/>
        </w:rPr>
        <w:t xml:space="preserve">Museum Studies is now an established Minor in our department and it will be </w:t>
      </w:r>
      <w:proofErr w:type="gramStart"/>
      <w:r w:rsidRPr="001F595A">
        <w:rPr>
          <w:rFonts w:ascii="Arial" w:hAnsi="Arial" w:cs="Arial"/>
          <w:b/>
        </w:rPr>
        <w:t>more clear</w:t>
      </w:r>
      <w:proofErr w:type="gramEnd"/>
      <w:r w:rsidRPr="001F595A">
        <w:rPr>
          <w:rFonts w:ascii="Arial" w:hAnsi="Arial" w:cs="Arial"/>
          <w:b/>
        </w:rPr>
        <w:t xml:space="preserve"> to students which courses are part of the required coursework for the minor if these classes have a distinctive Museum Studies prefix</w:t>
      </w:r>
      <w:r w:rsidR="000264C1">
        <w:rPr>
          <w:rFonts w:ascii="Arial" w:hAnsi="Arial" w:cs="Arial"/>
          <w:b/>
        </w:rPr>
        <w:t xml:space="preserve">.  </w:t>
      </w:r>
      <w:r w:rsidR="000264C1" w:rsidRPr="000264C1">
        <w:rPr>
          <w:rFonts w:ascii="Arial" w:hAnsi="Arial" w:cs="Arial"/>
          <w:b/>
        </w:rPr>
        <w:t xml:space="preserve">Make MST 250 (currently ARH 250) a prerequisite for the upper division MST courses (MST 350 and MST 360) </w:t>
      </w:r>
    </w:p>
    <w:p w:rsidR="000264C1" w:rsidRPr="000264C1" w:rsidRDefault="000264C1" w:rsidP="009F08E6">
      <w:pPr>
        <w:shd w:val="clear" w:color="auto" w:fill="D9D9D9" w:themeFill="background1" w:themeFillShade="D9"/>
        <w:rPr>
          <w:rFonts w:ascii="Arial" w:hAnsi="Arial" w:cs="Arial"/>
          <w:b/>
          <w:bCs/>
        </w:rPr>
      </w:pP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1F595A" w:rsidRDefault="001A3882">
            <w:pPr>
              <w:rPr>
                <w:rFonts w:ascii="Arial" w:hAnsi="Arial" w:cs="Arial"/>
                <w:b/>
                <w:sz w:val="24"/>
                <w:szCs w:val="24"/>
              </w:rPr>
            </w:pPr>
            <w:r>
              <w:rPr>
                <w:rFonts w:ascii="Arial" w:hAnsi="Arial" w:cs="Arial"/>
                <w:b/>
                <w:sz w:val="24"/>
                <w:szCs w:val="24"/>
              </w:rPr>
              <w:t>ARH 3</w:t>
            </w:r>
            <w:r w:rsidR="001F595A" w:rsidRPr="001F595A">
              <w:rPr>
                <w:rFonts w:ascii="Arial" w:hAnsi="Arial" w:cs="Arial"/>
                <w:b/>
                <w:sz w:val="24"/>
                <w:szCs w:val="24"/>
              </w:rPr>
              <w:t>50</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1F595A" w:rsidRDefault="001F595A" w:rsidP="001A3882">
            <w:pPr>
              <w:rPr>
                <w:rFonts w:ascii="Arial" w:hAnsi="Arial" w:cs="Arial"/>
                <w:b/>
                <w:sz w:val="24"/>
                <w:szCs w:val="24"/>
              </w:rPr>
            </w:pPr>
            <w:r w:rsidRPr="001F595A">
              <w:rPr>
                <w:rFonts w:ascii="Arial" w:hAnsi="Arial" w:cs="Arial"/>
                <w:b/>
                <w:sz w:val="24"/>
                <w:szCs w:val="24"/>
              </w:rPr>
              <w:t xml:space="preserve">MST </w:t>
            </w:r>
            <w:r w:rsidR="001A3882">
              <w:rPr>
                <w:rFonts w:ascii="Arial" w:hAnsi="Arial" w:cs="Arial"/>
                <w:b/>
                <w:sz w:val="24"/>
                <w:szCs w:val="24"/>
              </w:rPr>
              <w:t>3</w:t>
            </w:r>
            <w:r w:rsidRPr="001F595A">
              <w:rPr>
                <w:rFonts w:ascii="Arial" w:hAnsi="Arial" w:cs="Arial"/>
                <w:b/>
                <w:sz w:val="24"/>
                <w:szCs w:val="24"/>
              </w:rPr>
              <w:t>50</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Pr="000D6658" w:rsidRDefault="000D6658" w:rsidP="001F595A">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C2D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r w:rsidRPr="000D6658">
              <w:rPr>
                <w:rFonts w:ascii="Arial" w:hAnsi="Arial" w:cs="Arial"/>
                <w:bCs/>
              </w:rPr>
              <w:t xml:space="preserve"> pass/fail </w:t>
            </w:r>
            <w:bookmarkStart w:id="3" w:name="Check24"/>
            <w:r w:rsidR="00EC2D9A"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bookmarkEnd w:id="3"/>
            <w:r w:rsidRPr="000D6658">
              <w:rPr>
                <w:rFonts w:ascii="Arial" w:hAnsi="Arial" w:cs="Arial"/>
                <w:bCs/>
              </w:rPr>
              <w:t xml:space="preserve">  or both   </w:t>
            </w:r>
            <w:r w:rsidR="00EC2D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C2D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r w:rsidRPr="000D6658">
              <w:rPr>
                <w:rFonts w:ascii="Arial" w:hAnsi="Arial" w:cs="Arial"/>
                <w:bCs/>
              </w:rPr>
              <w:t xml:space="preserve">  pass/fail </w:t>
            </w:r>
            <w:bookmarkStart w:id="4" w:name="Check25"/>
            <w:r w:rsidR="00EC2D9A"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bookmarkEnd w:id="4"/>
            <w:r w:rsidRPr="000D6658">
              <w:rPr>
                <w:rFonts w:ascii="Arial" w:hAnsi="Arial" w:cs="Arial"/>
                <w:bCs/>
              </w:rPr>
              <w:t xml:space="preserve"> or both   </w:t>
            </w:r>
            <w:r w:rsidR="00EC2D9A"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FB05BA" w:rsidRDefault="00FB05BA">
            <w:pPr>
              <w:rPr>
                <w:rFonts w:ascii="Arial" w:hAnsi="Arial" w:cs="Arial"/>
                <w:b/>
                <w:sz w:val="24"/>
                <w:szCs w:val="24"/>
              </w:rPr>
            </w:pPr>
            <w:r w:rsidRPr="00FB05BA">
              <w:rPr>
                <w:rFonts w:ascii="Arial" w:hAnsi="Arial" w:cs="Arial"/>
                <w:b/>
                <w:sz w:val="24"/>
                <w:szCs w:val="24"/>
              </w:rPr>
              <w:t>NONE</w:t>
            </w:r>
          </w:p>
        </w:tc>
        <w:tc>
          <w:tcPr>
            <w:tcW w:w="5310" w:type="dxa"/>
          </w:tcPr>
          <w:p w:rsidR="000D6658" w:rsidRDefault="000D6658" w:rsidP="009E2D45">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FB05BA" w:rsidRPr="00FB05BA" w:rsidRDefault="00FB05BA" w:rsidP="009E2D45">
            <w:pPr>
              <w:rPr>
                <w:rFonts w:ascii="Arial" w:hAnsi="Arial" w:cs="Arial"/>
                <w:b/>
                <w:sz w:val="24"/>
                <w:szCs w:val="24"/>
              </w:rPr>
            </w:pPr>
            <w:r w:rsidRPr="00FB05BA">
              <w:rPr>
                <w:rFonts w:ascii="Arial" w:hAnsi="Arial" w:cs="Arial"/>
                <w:b/>
                <w:sz w:val="24"/>
                <w:szCs w:val="24"/>
              </w:rPr>
              <w:t>MST 250</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86680C" w:rsidRDefault="000D6658">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EC2D9A">
        <w:rPr>
          <w:rFonts w:ascii="Arial" w:hAnsi="Arial" w:cs="Arial"/>
          <w:bCs/>
        </w:rPr>
        <w:fldChar w:fldCharType="begin">
          <w:ffData>
            <w:name w:val="Check28"/>
            <w:enabled/>
            <w:calcOnExit w:val="0"/>
            <w:checkBox>
              <w:sizeAuto/>
              <w:default w:val="1"/>
            </w:checkBox>
          </w:ffData>
        </w:fldChar>
      </w:r>
      <w:bookmarkStart w:id="5" w:name="Check28"/>
      <w:r w:rsidR="00191DF6">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6" w:name="Check29"/>
      <w:r w:rsidR="00EC2D9A">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EC2D9A">
        <w:rPr>
          <w:rFonts w:ascii="Arial" w:hAnsi="Arial" w:cs="Arial"/>
          <w:bCs/>
          <w:sz w:val="22"/>
          <w:szCs w:val="22"/>
        </w:rPr>
      </w:r>
      <w:r w:rsidR="00EC2D9A">
        <w:rPr>
          <w:rFonts w:ascii="Arial" w:hAnsi="Arial" w:cs="Arial"/>
          <w:bCs/>
          <w:sz w:val="22"/>
          <w:szCs w:val="22"/>
        </w:rPr>
        <w:fldChar w:fldCharType="separate"/>
      </w:r>
      <w:r w:rsidR="00EC2D9A">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BD0A8C" w:rsidRPr="001F595A" w:rsidRDefault="001F595A" w:rsidP="00BD0A8C">
      <w:pPr>
        <w:shd w:val="clear" w:color="auto" w:fill="D9D9D9" w:themeFill="background1" w:themeFillShade="D9"/>
        <w:rPr>
          <w:rFonts w:ascii="Arial" w:hAnsi="Arial" w:cs="Arial"/>
          <w:b/>
          <w:bCs/>
        </w:rPr>
      </w:pPr>
      <w:r w:rsidRPr="001F595A">
        <w:rPr>
          <w:rFonts w:ascii="Arial" w:hAnsi="Arial" w:cs="Arial"/>
          <w:b/>
          <w:bCs/>
        </w:rPr>
        <w:t>Museum Studies Minor</w:t>
      </w:r>
      <w:r w:rsidR="00A24C84">
        <w:rPr>
          <w:rFonts w:ascii="Arial" w:hAnsi="Arial" w:cs="Arial"/>
          <w:b/>
          <w:bCs/>
        </w:rPr>
        <w:t xml:space="preserve">, Arts and Cultural Management Minor (elective), Comparative Cultural Studies BA (elective) </w:t>
      </w:r>
    </w:p>
    <w:p w:rsidR="001F595A" w:rsidRDefault="001F595A"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EC2D9A">
        <w:rPr>
          <w:rFonts w:ascii="Arial" w:hAnsi="Arial" w:cs="Arial"/>
          <w:bCs/>
        </w:rPr>
        <w:fldChar w:fldCharType="begin">
          <w:ffData>
            <w:name w:val=""/>
            <w:enabled/>
            <w:calcOnExit w:val="0"/>
            <w:checkBox>
              <w:sizeAuto/>
              <w:default w:val="1"/>
            </w:checkBox>
          </w:ffData>
        </w:fldChar>
      </w:r>
      <w:r w:rsidR="001F595A">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r w:rsidR="0009620D" w:rsidRPr="0009620D">
        <w:rPr>
          <w:rFonts w:ascii="Arial" w:hAnsi="Arial" w:cs="Arial"/>
          <w:bCs/>
        </w:rPr>
        <w:t xml:space="preserve">        No </w:t>
      </w:r>
      <w:r w:rsidR="00EC2D9A">
        <w:rPr>
          <w:rFonts w:ascii="Arial" w:hAnsi="Arial" w:cs="Arial"/>
          <w:bCs/>
        </w:rPr>
        <w:fldChar w:fldCharType="begin">
          <w:ffData>
            <w:name w:val=""/>
            <w:enabled/>
            <w:calcOnExit w:val="0"/>
            <w:checkBox>
              <w:sizeAuto/>
              <w:default w:val="0"/>
            </w:checkBox>
          </w:ffData>
        </w:fldChar>
      </w:r>
      <w:r w:rsidR="001F595A">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p>
    <w:p w:rsidR="0009620D" w:rsidRDefault="0009620D">
      <w:pPr>
        <w:rPr>
          <w:rFonts w:ascii="Arial" w:hAnsi="Arial" w:cs="Arial"/>
          <w:bCs/>
        </w:rPr>
      </w:pPr>
      <w:r w:rsidRPr="0009620D">
        <w:rPr>
          <w:rFonts w:ascii="Arial" w:hAnsi="Arial" w:cs="Arial"/>
          <w:bCs/>
        </w:rPr>
        <w:lastRenderedPageBreak/>
        <w:t xml:space="preserve">    </w:t>
      </w:r>
      <w:r w:rsidR="00066FB9">
        <w:rPr>
          <w:rFonts w:ascii="Arial" w:hAnsi="Arial" w:cs="Arial"/>
          <w:bCs/>
        </w:rPr>
        <w:t xml:space="preserve"> </w:t>
      </w:r>
      <w:r w:rsidRPr="0009620D">
        <w:rPr>
          <w:rFonts w:ascii="Arial" w:hAnsi="Arial" w:cs="Arial"/>
          <w:bCs/>
        </w:rPr>
        <w:t xml:space="preserve">  If no, explain.</w:t>
      </w:r>
    </w:p>
    <w:p w:rsidR="00644C02" w:rsidRDefault="00644C02" w:rsidP="009F08E6">
      <w:pPr>
        <w:shd w:val="clear" w:color="auto" w:fill="D9D9D9" w:themeFill="background1" w:themeFillShade="D9"/>
        <w:rPr>
          <w:rFonts w:ascii="Arial" w:hAnsi="Arial" w:cs="Arial"/>
          <w:bCs/>
        </w:rPr>
      </w:pPr>
    </w:p>
    <w:p w:rsidR="001F595A" w:rsidRDefault="001F595A"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EC2D9A">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r w:rsidR="000D6658" w:rsidRPr="000E59CF">
        <w:rPr>
          <w:rFonts w:ascii="Arial" w:hAnsi="Arial" w:cs="Arial"/>
          <w:bCs/>
        </w:rPr>
        <w:t xml:space="preserve">       No </w:t>
      </w:r>
      <w:r w:rsidR="00EC2D9A">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EC2D9A">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EC2D9A">
        <w:rPr>
          <w:rFonts w:ascii="Arial" w:hAnsi="Arial" w:cs="Arial"/>
          <w:bCs/>
        </w:rPr>
        <w:fldChar w:fldCharType="begin">
          <w:ffData>
            <w:name w:val=""/>
            <w:enabled/>
            <w:calcOnExit w:val="0"/>
            <w:checkBox>
              <w:sizeAuto/>
              <w:default w:val="1"/>
            </w:checkBox>
          </w:ffData>
        </w:fldChar>
      </w:r>
      <w:r w:rsidR="001A3882">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EC2D9A">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r w:rsidR="000D6658" w:rsidRPr="00271ACC">
        <w:rPr>
          <w:rFonts w:ascii="Arial" w:hAnsi="Arial" w:cs="Arial"/>
          <w:bCs/>
        </w:rPr>
        <w:t xml:space="preserve">      Diversity </w:t>
      </w:r>
      <w:r w:rsidR="00EC2D9A"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000D6658" w:rsidRPr="00271ACC">
        <w:rPr>
          <w:rFonts w:ascii="Arial" w:hAnsi="Arial" w:cs="Arial"/>
          <w:bCs/>
        </w:rPr>
        <w:t xml:space="preserve">        Both  </w:t>
      </w:r>
      <w:r w:rsidR="00EC2D9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EC2D9A"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EC2D9A">
        <w:rPr>
          <w:rFonts w:ascii="Arial" w:hAnsi="Arial" w:cs="Arial"/>
          <w:bCs/>
        </w:rPr>
        <w:fldChar w:fldCharType="begin">
          <w:ffData>
            <w:name w:val=""/>
            <w:enabled/>
            <w:calcOnExit w:val="0"/>
            <w:checkBox>
              <w:sizeAuto/>
              <w:default w:val="0"/>
            </w:checkBox>
          </w:ffData>
        </w:fldChar>
      </w:r>
      <w:r w:rsidR="001A3882">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C2D9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Pr="00271ACC">
        <w:rPr>
          <w:rFonts w:ascii="Arial" w:hAnsi="Arial" w:cs="Arial"/>
          <w:bCs/>
        </w:rPr>
        <w:t xml:space="preserve">      Diversity </w:t>
      </w:r>
      <w:r w:rsidR="00EC2D9A"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Pr="00271ACC">
        <w:rPr>
          <w:rFonts w:ascii="Arial" w:hAnsi="Arial" w:cs="Arial"/>
          <w:bCs/>
        </w:rPr>
        <w:t xml:space="preserve">        Both  </w:t>
      </w:r>
      <w:r w:rsidR="00EC2D9A"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C2D9A">
        <w:rPr>
          <w:rFonts w:ascii="Arial" w:hAnsi="Arial" w:cs="Arial"/>
          <w:bCs/>
        </w:rPr>
      </w:r>
      <w:r w:rsidR="00EC2D9A">
        <w:rPr>
          <w:rFonts w:ascii="Arial" w:hAnsi="Arial" w:cs="Arial"/>
          <w:bCs/>
        </w:rPr>
        <w:fldChar w:fldCharType="separate"/>
      </w:r>
      <w:r w:rsidR="00EC2D9A"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EC2D9A"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986D6F">
        <w:rPr>
          <w:rFonts w:ascii="Arial" w:hAnsi="Arial" w:cs="Arial"/>
        </w:rPr>
        <w:fldChar w:fldCharType="end"/>
      </w:r>
      <w:bookmarkEnd w:id="7"/>
      <w:r w:rsidRPr="00986D6F">
        <w:rPr>
          <w:rFonts w:ascii="Arial" w:hAnsi="Arial" w:cs="Arial"/>
        </w:rPr>
        <w:t xml:space="preserve">       No </w:t>
      </w:r>
      <w:r w:rsidR="00EC2D9A">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EC2D9A"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945FC2">
        <w:rPr>
          <w:rFonts w:ascii="Arial" w:hAnsi="Arial" w:cs="Arial"/>
        </w:rPr>
        <w:fldChar w:fldCharType="end"/>
      </w:r>
      <w:r w:rsidRPr="00945FC2">
        <w:rPr>
          <w:rFonts w:ascii="Arial" w:hAnsi="Arial" w:cs="Arial"/>
        </w:rPr>
        <w:t xml:space="preserve">       No </w:t>
      </w:r>
      <w:r w:rsidR="00EC2D9A">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A24C84" w:rsidP="00A24C84">
            <w:pPr>
              <w:rPr>
                <w:rFonts w:ascii="Arial" w:hAnsi="Arial" w:cs="Arial"/>
                <w:b/>
                <w:sz w:val="24"/>
                <w:szCs w:val="24"/>
              </w:rPr>
            </w:pPr>
            <w:r>
              <w:rPr>
                <w:rFonts w:ascii="Arial" w:hAnsi="Arial" w:cs="Arial"/>
                <w:b/>
                <w:sz w:val="24"/>
                <w:szCs w:val="24"/>
              </w:rPr>
              <w:t>10/04/2013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C2D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sidRPr="00313AE8">
        <w:rPr>
          <w:rFonts w:ascii="Arial" w:hAnsi="Arial" w:cs="Arial"/>
        </w:rPr>
        <w:t xml:space="preserve">     No  </w:t>
      </w:r>
      <w:r w:rsidR="00EC2D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C2D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C2D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C2D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sidRPr="00313AE8">
        <w:rPr>
          <w:rFonts w:ascii="Arial" w:hAnsi="Arial" w:cs="Arial"/>
        </w:rPr>
        <w:t xml:space="preserve">     No  </w:t>
      </w:r>
      <w:r w:rsidR="00EC2D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C2D9A"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C2D9A"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C2D9A">
        <w:rPr>
          <w:rFonts w:ascii="Arial" w:hAnsi="Arial" w:cs="Arial"/>
        </w:rPr>
      </w:r>
      <w:r w:rsidR="00EC2D9A">
        <w:rPr>
          <w:rFonts w:ascii="Arial" w:hAnsi="Arial" w:cs="Arial"/>
        </w:rPr>
        <w:fldChar w:fldCharType="separate"/>
      </w:r>
      <w:r w:rsidR="00EC2D9A" w:rsidRPr="00313AE8">
        <w:rPr>
          <w:rFonts w:ascii="Arial" w:hAnsi="Arial" w:cs="Arial"/>
        </w:rPr>
        <w:fldChar w:fldCharType="end"/>
      </w:r>
    </w:p>
    <w:p w:rsidR="000279B7" w:rsidRDefault="000279B7"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sectPr w:rsidR="00715C28"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2D" w:rsidRDefault="00BA3D2D" w:rsidP="00294268">
      <w:r>
        <w:separator/>
      </w:r>
    </w:p>
  </w:endnote>
  <w:endnote w:type="continuationSeparator" w:id="0">
    <w:p w:rsidR="00BA3D2D" w:rsidRDefault="00BA3D2D"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2D" w:rsidRPr="00294268" w:rsidRDefault="00BA3D2D">
    <w:pPr>
      <w:pStyle w:val="Footer"/>
      <w:rPr>
        <w:sz w:val="22"/>
      </w:rPr>
    </w:pPr>
    <w:r w:rsidRPr="00EC2D9A">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2D" w:rsidRDefault="00BA3D2D" w:rsidP="00294268">
      <w:r>
        <w:separator/>
      </w:r>
    </w:p>
  </w:footnote>
  <w:footnote w:type="continuationSeparator" w:id="0">
    <w:p w:rsidR="00BA3D2D" w:rsidRDefault="00BA3D2D"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218"/>
    <w:multiLevelType w:val="hybridMultilevel"/>
    <w:tmpl w:val="6624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6F24"/>
    <w:rsid w:val="000264C1"/>
    <w:rsid w:val="000279B7"/>
    <w:rsid w:val="00032728"/>
    <w:rsid w:val="00044326"/>
    <w:rsid w:val="00066FB9"/>
    <w:rsid w:val="000756D6"/>
    <w:rsid w:val="000927BA"/>
    <w:rsid w:val="0009620D"/>
    <w:rsid w:val="000B1664"/>
    <w:rsid w:val="000D6658"/>
    <w:rsid w:val="000E1716"/>
    <w:rsid w:val="000E59CF"/>
    <w:rsid w:val="001119A7"/>
    <w:rsid w:val="00150B36"/>
    <w:rsid w:val="00167A44"/>
    <w:rsid w:val="0018319D"/>
    <w:rsid w:val="00191DF6"/>
    <w:rsid w:val="001A3882"/>
    <w:rsid w:val="001C3C3D"/>
    <w:rsid w:val="001E4269"/>
    <w:rsid w:val="001E5C30"/>
    <w:rsid w:val="001E6BA1"/>
    <w:rsid w:val="001F3A79"/>
    <w:rsid w:val="001F595A"/>
    <w:rsid w:val="00204C1E"/>
    <w:rsid w:val="00220487"/>
    <w:rsid w:val="00240E9F"/>
    <w:rsid w:val="00252CE6"/>
    <w:rsid w:val="00271ACC"/>
    <w:rsid w:val="00272977"/>
    <w:rsid w:val="002775FF"/>
    <w:rsid w:val="00294268"/>
    <w:rsid w:val="002B10D3"/>
    <w:rsid w:val="002B15C0"/>
    <w:rsid w:val="002C0564"/>
    <w:rsid w:val="002C59BD"/>
    <w:rsid w:val="00316F5F"/>
    <w:rsid w:val="003527B4"/>
    <w:rsid w:val="00370E3C"/>
    <w:rsid w:val="0037414E"/>
    <w:rsid w:val="003D017F"/>
    <w:rsid w:val="003E4FBF"/>
    <w:rsid w:val="003F595A"/>
    <w:rsid w:val="004008DA"/>
    <w:rsid w:val="00433298"/>
    <w:rsid w:val="00440CA8"/>
    <w:rsid w:val="004A7A9D"/>
    <w:rsid w:val="004A7E7E"/>
    <w:rsid w:val="004B6833"/>
    <w:rsid w:val="004C3804"/>
    <w:rsid w:val="004E24D3"/>
    <w:rsid w:val="004F1191"/>
    <w:rsid w:val="00513A12"/>
    <w:rsid w:val="005727C3"/>
    <w:rsid w:val="00585A8E"/>
    <w:rsid w:val="005953F5"/>
    <w:rsid w:val="005A125E"/>
    <w:rsid w:val="005A1F20"/>
    <w:rsid w:val="005A3CC8"/>
    <w:rsid w:val="005B7A7B"/>
    <w:rsid w:val="005E7A50"/>
    <w:rsid w:val="0060586A"/>
    <w:rsid w:val="00611F75"/>
    <w:rsid w:val="006221D4"/>
    <w:rsid w:val="006231FF"/>
    <w:rsid w:val="00626D8F"/>
    <w:rsid w:val="0063522B"/>
    <w:rsid w:val="00644C02"/>
    <w:rsid w:val="00652FF5"/>
    <w:rsid w:val="00660676"/>
    <w:rsid w:val="00664620"/>
    <w:rsid w:val="0067743D"/>
    <w:rsid w:val="006A0577"/>
    <w:rsid w:val="006A3881"/>
    <w:rsid w:val="006B36D4"/>
    <w:rsid w:val="006C0001"/>
    <w:rsid w:val="006C0AB1"/>
    <w:rsid w:val="006C5849"/>
    <w:rsid w:val="006F1DE1"/>
    <w:rsid w:val="006F79F0"/>
    <w:rsid w:val="0071424A"/>
    <w:rsid w:val="00715C28"/>
    <w:rsid w:val="007270F1"/>
    <w:rsid w:val="00736D31"/>
    <w:rsid w:val="00762ED4"/>
    <w:rsid w:val="00765C6B"/>
    <w:rsid w:val="00773DFD"/>
    <w:rsid w:val="007A3A29"/>
    <w:rsid w:val="007B3389"/>
    <w:rsid w:val="007D5A3E"/>
    <w:rsid w:val="007E4735"/>
    <w:rsid w:val="00821A81"/>
    <w:rsid w:val="0086680C"/>
    <w:rsid w:val="008807BF"/>
    <w:rsid w:val="008875E3"/>
    <w:rsid w:val="00897B0B"/>
    <w:rsid w:val="008C0DD3"/>
    <w:rsid w:val="008C2F24"/>
    <w:rsid w:val="00901914"/>
    <w:rsid w:val="00943B82"/>
    <w:rsid w:val="00945FC2"/>
    <w:rsid w:val="00951A1D"/>
    <w:rsid w:val="00986D6F"/>
    <w:rsid w:val="009C1083"/>
    <w:rsid w:val="009C3DFF"/>
    <w:rsid w:val="009D23DE"/>
    <w:rsid w:val="009E2D45"/>
    <w:rsid w:val="009F08E6"/>
    <w:rsid w:val="009F2B33"/>
    <w:rsid w:val="00A16CA3"/>
    <w:rsid w:val="00A16F33"/>
    <w:rsid w:val="00A246D5"/>
    <w:rsid w:val="00A24C84"/>
    <w:rsid w:val="00A7472B"/>
    <w:rsid w:val="00AA6A9C"/>
    <w:rsid w:val="00B259B6"/>
    <w:rsid w:val="00B37B16"/>
    <w:rsid w:val="00B41366"/>
    <w:rsid w:val="00B71D1D"/>
    <w:rsid w:val="00B915EC"/>
    <w:rsid w:val="00BA39D5"/>
    <w:rsid w:val="00BA3D2D"/>
    <w:rsid w:val="00BD0A8C"/>
    <w:rsid w:val="00BE505D"/>
    <w:rsid w:val="00BF39F3"/>
    <w:rsid w:val="00C14C62"/>
    <w:rsid w:val="00C254ED"/>
    <w:rsid w:val="00C664D3"/>
    <w:rsid w:val="00C76DBB"/>
    <w:rsid w:val="00CB1102"/>
    <w:rsid w:val="00CD4A38"/>
    <w:rsid w:val="00CD4F34"/>
    <w:rsid w:val="00CD7A67"/>
    <w:rsid w:val="00CF2CDA"/>
    <w:rsid w:val="00D00432"/>
    <w:rsid w:val="00D52377"/>
    <w:rsid w:val="00D607BB"/>
    <w:rsid w:val="00D618BE"/>
    <w:rsid w:val="00D72B6B"/>
    <w:rsid w:val="00D91960"/>
    <w:rsid w:val="00DF199B"/>
    <w:rsid w:val="00E1048D"/>
    <w:rsid w:val="00E325F2"/>
    <w:rsid w:val="00E92446"/>
    <w:rsid w:val="00EC2D9A"/>
    <w:rsid w:val="00F05472"/>
    <w:rsid w:val="00F06FC1"/>
    <w:rsid w:val="00F07561"/>
    <w:rsid w:val="00F35EB9"/>
    <w:rsid w:val="00F54F2A"/>
    <w:rsid w:val="00F622B2"/>
    <w:rsid w:val="00F738D3"/>
    <w:rsid w:val="00FB05BA"/>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paragraph" w:styleId="ListParagraph">
    <w:name w:val="List Paragraph"/>
    <w:basedOn w:val="Normal"/>
    <w:uiPriority w:val="34"/>
    <w:qFormat/>
    <w:rsid w:val="00BA3D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3247A-9982-4C15-ABCD-01A5F69D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2013-10-04T16:46:00Z</dcterms:created>
  <dcterms:modified xsi:type="dcterms:W3CDTF">2013-11-18T22:28:00Z</dcterms:modified>
</cp:coreProperties>
</file>