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6D7BA5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4F07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576921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044E4C" w:rsidP="00044E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Computer Information Systems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AB49C0" w:rsidRDefault="00044E4C" w:rsidP="00044E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Enterprise Systems U</w:t>
            </w:r>
            <w:r w:rsidR="004C2E3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ERT</w:t>
            </w:r>
            <w:r w:rsidR="00C421AD" w:rsidRPr="00AB4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ESCT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Pr="00A1039F" w:rsidRDefault="00C421AD" w:rsidP="00AB4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6D7BA5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6D7BA5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6D7BA5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6D7BA5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7692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6D7BA5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F3222" w:rsidRPr="00AB49C0" w:rsidRDefault="00AB49C0" w:rsidP="00B9339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49C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NEED </w:t>
            </w: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344D10" w:rsidRDefault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UNCHA</w:t>
            </w:r>
            <w:r w:rsidR="00CC130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44D10">
              <w:rPr>
                <w:rFonts w:ascii="Arial" w:hAnsi="Arial" w:cs="Arial"/>
                <w:b/>
                <w:sz w:val="24"/>
                <w:szCs w:val="24"/>
              </w:rPr>
              <w:t>GED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08"/>
        <w:gridCol w:w="5400"/>
      </w:tblGrid>
      <w:tr w:rsidR="0065207F" w:rsidTr="00AB49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F" w:rsidRPr="0065207F" w:rsidRDefault="006D7BA5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6D7BA5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AB49C0" w:rsidRPr="005821C8" w:rsidRDefault="00AB49C0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0F4823" w:rsidRDefault="00044E4C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Enterprise Systems</w:t>
            </w:r>
            <w:r w:rsidR="0032423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76921">
              <w:rPr>
                <w:rFonts w:ascii="Tahoma" w:hAnsi="Tahoma" w:cs="Tahoma"/>
                <w:sz w:val="24"/>
                <w:szCs w:val="24"/>
              </w:rPr>
              <w:t xml:space="preserve">UCERT </w:t>
            </w:r>
            <w:r w:rsidR="00C421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F482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F4823" w:rsidRPr="00E96742" w:rsidRDefault="000F4823" w:rsidP="000F4823"/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5"/>
              <w:gridCol w:w="2430"/>
            </w:tblGrid>
            <w:tr w:rsidR="00DA5EA4" w:rsidRPr="00DA5EA4" w:rsidTr="00DA5EA4">
              <w:trPr>
                <w:tblHeader/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DA5EA4" w:rsidRPr="00DA5EA4" w:rsidTr="00DA5EA4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2.0</w:t>
                  </w:r>
                </w:p>
              </w:tc>
            </w:tr>
            <w:tr w:rsidR="00DA5EA4" w:rsidRPr="00DA5EA4" w:rsidTr="00DA5EA4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6D7BA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2" w:tgtFrame="_blank" w:history="1">
                    <w:r w:rsidR="00DA5EA4" w:rsidRPr="00DA5EA4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119</w:t>
                    </w:r>
                  </w:hyperlink>
                </w:p>
              </w:tc>
            </w:tr>
            <w:tr w:rsidR="00DA5EA4" w:rsidRPr="00DA5EA4" w:rsidTr="00DA5EA4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576921" w:rsidRDefault="00576921" w:rsidP="005769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Additional Admission Requirements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Admission requirements over and above admission to NAU are required.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We offer a more than a dozen non-degree certificates, some of which are open to all Northern Arizona University students.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 xml:space="preserve">Major status in The W. A.  </w:t>
            </w:r>
            <w:proofErr w:type="spellStart"/>
            <w:r w:rsidRPr="00044E4C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044E4C">
              <w:rPr>
                <w:rFonts w:ascii="Tahoma" w:hAnsi="Tahoma" w:cs="Tahoma"/>
                <w:sz w:val="24"/>
                <w:szCs w:val="24"/>
              </w:rPr>
              <w:t xml:space="preserve"> College of Business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Or a 2.75 cumulative grade point average (GPA) with at least 30 units earned</w:t>
            </w:r>
          </w:p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 xml:space="preserve">For a list of certificates open to non-business majors, contact the Office of Academic Services in The W. A. </w:t>
            </w:r>
            <w:proofErr w:type="spellStart"/>
            <w:r w:rsidRPr="00044E4C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044E4C">
              <w:rPr>
                <w:rFonts w:ascii="Tahoma" w:hAnsi="Tahoma" w:cs="Tahoma"/>
                <w:sz w:val="24"/>
                <w:szCs w:val="24"/>
              </w:rPr>
              <w:t xml:space="preserve"> College of Business. If you are not a business major, but wish to complete a certificate through The W. A. </w:t>
            </w:r>
            <w:proofErr w:type="spellStart"/>
            <w:r w:rsidRPr="00044E4C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044E4C">
              <w:rPr>
                <w:rFonts w:ascii="Tahoma" w:hAnsi="Tahoma" w:cs="Tahoma"/>
                <w:sz w:val="24"/>
                <w:szCs w:val="24"/>
              </w:rPr>
              <w:t xml:space="preserve"> College of </w:t>
            </w:r>
            <w:r w:rsidRPr="00044E4C">
              <w:rPr>
                <w:rFonts w:ascii="Tahoma" w:hAnsi="Tahoma" w:cs="Tahoma"/>
                <w:sz w:val="24"/>
                <w:szCs w:val="24"/>
              </w:rPr>
              <w:lastRenderedPageBreak/>
              <w:t>Business, you must apply to the Office of Academic Services. Please note that non-business majors are not allowed to take more than 27 units of business classes with the FCB.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Also note that most upper-division business courses require admission to the Business Professional Program or a waiver of prerequisite. Please visit the FCB Office of Academic Services for more information. The FCB does not accept upper-division transfer credits from programs not accredited by the AACSB (such as the University of Phoenix or the Bachelor of Business Administration program at NAU).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Finally, you should know that you must have at least 6 units of certificate coursework that are not used in your major, minor, or other certificates, and you must complete at least 6 units of certificate coursework at Northern Arizona University.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Certificate Requirements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Take the following 15 units with a minimum GPA of 2.0: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CIS 120, CIS 310, CIS 360 (9 units)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Select two courses from: CIS 410, CIS 460, CIS 490 (6 units)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If you are a CIS major: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You may need to take an additional upper-division CIS course to complete the 6 units in the certificate that are not used in your major or any other academic plan.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It is highly recommended that you take this certificate to enhance your knowledge of Enterprise Systems. See your advisor for more information.</w:t>
            </w:r>
          </w:p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Please note that this certificate is available only for those students with the Business Professional Program milestone.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You must have completed all of the coursework used to fulfill these requirements within the last 10 years.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 xml:space="preserve">This certificate may only be pursued and completed concurrently with a degree program.  </w:t>
            </w:r>
            <w:r w:rsidRPr="00044E4C">
              <w:rPr>
                <w:rFonts w:ascii="Tahoma" w:hAnsi="Tahoma" w:cs="Tahoma"/>
                <w:sz w:val="24"/>
                <w:szCs w:val="24"/>
              </w:rPr>
              <w:lastRenderedPageBreak/>
              <w:t>This certificate is not available as a stand-alone certificate.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Pr="00576921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344D10" w:rsidRP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lastRenderedPageBreak/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E4C" w:rsidRDefault="00044E4C" w:rsidP="00044E4C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Enterprise Systems UCERT    </w:t>
            </w:r>
          </w:p>
          <w:p w:rsidR="00044E4C" w:rsidRPr="00E96742" w:rsidRDefault="00044E4C" w:rsidP="00044E4C"/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5"/>
              <w:gridCol w:w="2430"/>
            </w:tblGrid>
            <w:tr w:rsidR="00044E4C" w:rsidRPr="00DA5EA4" w:rsidTr="004C7321">
              <w:trPr>
                <w:tblHeader/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044E4C" w:rsidRPr="00DA5EA4" w:rsidRDefault="00044E4C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044E4C" w:rsidRPr="00DA5EA4" w:rsidRDefault="00044E4C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044E4C" w:rsidRPr="00DA5EA4" w:rsidTr="004C7321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044E4C" w:rsidRPr="00DA5EA4" w:rsidRDefault="00044E4C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044E4C" w:rsidRPr="00DA5EA4" w:rsidRDefault="00044E4C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2.0</w:t>
                  </w:r>
                </w:p>
              </w:tc>
            </w:tr>
            <w:tr w:rsidR="00044E4C" w:rsidRPr="00DA5EA4" w:rsidTr="004C7321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044E4C" w:rsidRPr="00DA5EA4" w:rsidRDefault="00044E4C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044E4C" w:rsidRPr="00DA5EA4" w:rsidRDefault="006D7BA5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tgtFrame="_blank" w:history="1">
                    <w:r w:rsidR="00044E4C" w:rsidRPr="00DA5EA4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119</w:t>
                    </w:r>
                  </w:hyperlink>
                </w:p>
              </w:tc>
            </w:tr>
            <w:tr w:rsidR="00044E4C" w:rsidRPr="00DA5EA4" w:rsidTr="004C7321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044E4C" w:rsidRPr="00DA5EA4" w:rsidRDefault="00044E4C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044E4C" w:rsidRPr="00DA5EA4" w:rsidRDefault="00044E4C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  <w:r w:rsidRPr="0032423C">
              <w:rPr>
                <w:rFonts w:ascii="Tahoma" w:hAnsi="Tahoma" w:cs="Tahoma"/>
                <w:sz w:val="24"/>
                <w:szCs w:val="24"/>
              </w:rPr>
              <w:t>Additional Admission Requirements</w:t>
            </w: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32423C" w:rsidRPr="00220D24" w:rsidRDefault="0032423C" w:rsidP="0032423C">
            <w:pPr>
              <w:rPr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W.A. </w:t>
            </w:r>
            <w:proofErr w:type="spell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College of Business (FCB)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offer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more than a dozen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non-degree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undergraduate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certificates, some of which are open to all Northern Arizona University students.</w:t>
            </w:r>
          </w:p>
          <w:p w:rsidR="0032423C" w:rsidRPr="00220D24" w:rsidRDefault="0032423C" w:rsidP="0032423C">
            <w:pPr>
              <w:rPr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32423C" w:rsidRPr="00220D24" w:rsidRDefault="0032423C" w:rsidP="0032423C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numPr>
                <w:ilvl w:val="0"/>
                <w:numId w:val="19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Major status in </w:t>
            </w:r>
            <w:proofErr w:type="gram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</w:p>
          <w:p w:rsidR="0032423C" w:rsidRPr="00220D24" w:rsidRDefault="0032423C" w:rsidP="0032423C">
            <w:pPr>
              <w:pStyle w:val="Heading4"/>
              <w:numPr>
                <w:ilvl w:val="0"/>
                <w:numId w:val="19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Or a 2.75 cumulative grade point average (GPA) with at least 30 units earned</w:t>
            </w:r>
          </w:p>
          <w:p w:rsidR="0032423C" w:rsidRPr="00220D24" w:rsidRDefault="0032423C" w:rsidP="0032423C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32423C" w:rsidRPr="00220D24" w:rsidRDefault="0032423C" w:rsidP="0032423C">
            <w:pPr>
              <w:rPr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in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the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lastRenderedPageBreak/>
              <w:t>FCB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 will allow you, as a non-FCB student, to take an eligible FCB certificate program if you have a 2.75 cumulative grade point average (GPA), and at least 30 units earned.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If you have a GPA of less than 2.75 but at least 2.5, we will admit you into an eligible certificate plan on a space-available basis. </w:t>
            </w: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If you are not a business major, but wish to complete a certificate through 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Business, you must apply to the Office of Academic Services. Please note that non-business majors.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Because non-FCB students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are not allowed to take more than 27 units of business classes with the FCB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, and because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Also note that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most upper-division business courses require admission to the Business Professional Program or a waiver of prerequisite,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non-FCB students must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.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Please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visit the FCB Office of Academic Services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for more information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before pursuing an FCB certificate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The FCB does not accept upper-division transfer credits from programs not accredited by the AACSB (such as the University of Phoenix or the Bachelor of Business Administration program at NAU).</w:t>
            </w:r>
          </w:p>
          <w:p w:rsidR="0032423C" w:rsidRPr="00220D24" w:rsidRDefault="0032423C" w:rsidP="0032423C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Finally, you should know that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ou must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have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complete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at least 6 units of certificate coursework that are not used in your major, minor, or other certificates, and you must complete at least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 units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60%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of certificate coursework at Northern Arizona University.</w:t>
            </w: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Certificate Requirements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Take the following 15 units with a minimum GPA of 2.0: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CIS 120, CIS 310, CIS 360 (9 units)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Select two courses from: CIS 410, CIS 460, CIS 490 (6 units)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If you are a CIS major: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You may need to take an additional upper-division CIS course to complete the 6 units in the certificate that are not used in your major or any other academic plan.</w:t>
            </w:r>
          </w:p>
          <w:p w:rsidR="00044E4C" w:rsidRPr="00044E4C" w:rsidRDefault="00044E4C" w:rsidP="00044E4C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lastRenderedPageBreak/>
              <w:t>It is highly recommended that you take this certificate to enhance your knowledge of Enterprise Systems. See your advisor for more information.</w:t>
            </w:r>
          </w:p>
          <w:p w:rsid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Please note that this certificate is available only for those students with the Business Professional Program milestone.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You must have completed all of the coursework used to fulfill these requirements within the last 10 years.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 xml:space="preserve">This certificate may </w:t>
            </w:r>
            <w:r w:rsidRPr="00044E4C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only</w:t>
            </w:r>
            <w:r w:rsidRPr="00044E4C">
              <w:rPr>
                <w:rFonts w:ascii="Tahoma" w:hAnsi="Tahoma" w:cs="Tahoma"/>
                <w:sz w:val="24"/>
                <w:szCs w:val="24"/>
              </w:rPr>
              <w:t xml:space="preserve"> be pursued and completed concurrently with a degree program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4E4C">
              <w:rPr>
                <w:rFonts w:ascii="Tahoma" w:hAnsi="Tahoma" w:cs="Tahoma"/>
                <w:b/>
                <w:sz w:val="24"/>
                <w:szCs w:val="24"/>
              </w:rPr>
              <w:t>or as a stand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44E4C">
              <w:rPr>
                <w:rFonts w:ascii="Tahoma" w:hAnsi="Tahoma" w:cs="Tahoma"/>
                <w:b/>
                <w:sz w:val="24"/>
                <w:szCs w:val="24"/>
              </w:rPr>
              <w:t>alone certificate.  Federal financial aid cannot be used if the certificate is completed</w:t>
            </w:r>
            <w:r w:rsidRPr="00044E4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44E4C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This certificate is not available</w:t>
            </w:r>
            <w:r w:rsidRPr="00044E4C">
              <w:rPr>
                <w:rFonts w:ascii="Tahoma" w:hAnsi="Tahoma" w:cs="Tahoma"/>
                <w:sz w:val="24"/>
                <w:szCs w:val="24"/>
              </w:rPr>
              <w:t xml:space="preserve"> as a stand-alone certificate.</w:t>
            </w:r>
          </w:p>
          <w:p w:rsidR="00044E4C" w:rsidRPr="00044E4C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  <w:r w:rsidRPr="00044E4C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044E4C" w:rsidRPr="00DA5EA4" w:rsidRDefault="00044E4C" w:rsidP="00044E4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07F" w:rsidRPr="0065207F" w:rsidRDefault="0065207F" w:rsidP="00044E4C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32423C" w:rsidRDefault="0032423C" w:rsidP="0032423C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This proposal is to rephrase the additional admission requirements found in our Undergraduate Certificates.  We find the current version is too confusing for students. </w:t>
      </w:r>
    </w:p>
    <w:p w:rsidR="0032423C" w:rsidRDefault="0032423C" w:rsidP="0032423C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</w:p>
    <w:p w:rsidR="005205B4" w:rsidRDefault="0032423C" w:rsidP="0032423C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This proposal also revises plan text to indicate that it can be completed as a stand-alone certificate.  </w:t>
      </w:r>
      <w:r w:rsidR="005205B4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5205B4" w:rsidRPr="00220D24" w:rsidRDefault="005205B4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6D7BA5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6D7BA5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6D7BA5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4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6D7B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6D7BA5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52434" w:rsidRPr="002B1A53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6D7B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6921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6D7BA5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   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6D7BA5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6D7BA5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6D7BA5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6D7BA5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6D7BA5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6D7BA5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B9339A" w:rsidP="00576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813CBA" w:rsidRPr="00813CBA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DD9C3" w:themeFill="background2" w:themeFillShade="E6"/>
              <w:tblLook w:val="04A0"/>
            </w:tblPr>
            <w:tblGrid>
              <w:gridCol w:w="7069"/>
              <w:gridCol w:w="1733"/>
            </w:tblGrid>
            <w:tr w:rsidR="0067254A" w:rsidTr="0067254A">
              <w:tc>
                <w:tcPr>
                  <w:tcW w:w="9018" w:type="dxa"/>
                  <w:shd w:val="clear" w:color="auto" w:fill="DDD9C3" w:themeFill="background2" w:themeFillShade="E6"/>
                </w:tcPr>
                <w:p w:rsidR="0067254A" w:rsidRDefault="0067254A"/>
                <w:p w:rsidR="0067254A" w:rsidRDefault="0067254A">
                  <w:r>
                    <w:t>Eric Yordy</w:t>
                  </w:r>
                </w:p>
              </w:tc>
              <w:tc>
                <w:tcPr>
                  <w:tcW w:w="1980" w:type="dxa"/>
                  <w:shd w:val="clear" w:color="auto" w:fill="DDD9C3" w:themeFill="background2" w:themeFillShade="E6"/>
                  <w:hideMark/>
                </w:tcPr>
                <w:p w:rsidR="0067254A" w:rsidRDefault="0067254A">
                  <w:r>
                    <w:t xml:space="preserve">                  12/18/13</w:t>
                  </w:r>
                </w:p>
              </w:tc>
            </w:tr>
          </w:tbl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DD9C3" w:themeFill="background2" w:themeFillShade="E6"/>
              <w:tblLook w:val="04A0"/>
            </w:tblPr>
            <w:tblGrid>
              <w:gridCol w:w="7069"/>
              <w:gridCol w:w="1733"/>
            </w:tblGrid>
            <w:tr w:rsidR="0067254A" w:rsidTr="0067254A">
              <w:tc>
                <w:tcPr>
                  <w:tcW w:w="9018" w:type="dxa"/>
                  <w:shd w:val="clear" w:color="auto" w:fill="DDD9C3" w:themeFill="background2" w:themeFillShade="E6"/>
                </w:tcPr>
                <w:p w:rsidR="0067254A" w:rsidRDefault="0067254A">
                  <w:r>
                    <w:t xml:space="preserve"> </w:t>
                  </w:r>
                </w:p>
                <w:p w:rsidR="0067254A" w:rsidRDefault="0067254A">
                  <w:r>
                    <w:t>Eric Yordy</w:t>
                  </w:r>
                </w:p>
              </w:tc>
              <w:tc>
                <w:tcPr>
                  <w:tcW w:w="1980" w:type="dxa"/>
                  <w:shd w:val="clear" w:color="auto" w:fill="DDD9C3" w:themeFill="background2" w:themeFillShade="E6"/>
                  <w:hideMark/>
                </w:tcPr>
                <w:p w:rsidR="0067254A" w:rsidRDefault="0067254A">
                  <w:r>
                    <w:t xml:space="preserve">                          12/18/13</w:t>
                  </w:r>
                </w:p>
              </w:tc>
            </w:tr>
          </w:tbl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6D7B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6D7B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lastRenderedPageBreak/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6D7B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6D7B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6D7B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6D7B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P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6D7B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6D7BA5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D7BA5">
        <w:rPr>
          <w:rFonts w:ascii="Arial" w:hAnsi="Arial" w:cs="Arial"/>
          <w:sz w:val="24"/>
          <w:szCs w:val="24"/>
        </w:rPr>
      </w:r>
      <w:r w:rsidR="006D7BA5">
        <w:rPr>
          <w:rFonts w:ascii="Arial" w:hAnsi="Arial" w:cs="Arial"/>
          <w:sz w:val="24"/>
          <w:szCs w:val="24"/>
        </w:rPr>
        <w:fldChar w:fldCharType="separate"/>
      </w:r>
      <w:r w:rsidR="006D7BA5" w:rsidRPr="00313AE8">
        <w:rPr>
          <w:rFonts w:ascii="Arial" w:hAnsi="Arial" w:cs="Arial"/>
          <w:sz w:val="24"/>
          <w:szCs w:val="24"/>
        </w:rPr>
        <w:fldChar w:fldCharType="end"/>
      </w:r>
    </w:p>
    <w:sectPr w:rsidR="00350A98" w:rsidRPr="00350A98" w:rsidSect="001A02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C0" w:rsidRDefault="00AB49C0" w:rsidP="00233561">
      <w:r>
        <w:separator/>
      </w:r>
    </w:p>
  </w:endnote>
  <w:endnote w:type="continuationSeparator" w:id="0">
    <w:p w:rsidR="00AB49C0" w:rsidRDefault="00AB49C0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6D7BA5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AB49C0">
      <w:rPr>
        <w:color w:val="4F81BD" w:themeColor="accent1"/>
      </w:rPr>
      <w:t>Effective Fall 2013</w:t>
    </w:r>
    <w:bookmarkStart w:id="4" w:name="_GoBack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C0" w:rsidRDefault="00AB49C0" w:rsidP="00233561">
      <w:r>
        <w:separator/>
      </w:r>
    </w:p>
  </w:footnote>
  <w:footnote w:type="continuationSeparator" w:id="0">
    <w:p w:rsidR="00AB49C0" w:rsidRDefault="00AB49C0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3B"/>
    <w:multiLevelType w:val="hybridMultilevel"/>
    <w:tmpl w:val="6B04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53F60"/>
    <w:multiLevelType w:val="hybridMultilevel"/>
    <w:tmpl w:val="6EA4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9F9"/>
    <w:multiLevelType w:val="hybridMultilevel"/>
    <w:tmpl w:val="8D50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0DA"/>
    <w:multiLevelType w:val="hybridMultilevel"/>
    <w:tmpl w:val="9D40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91279"/>
    <w:multiLevelType w:val="hybridMultilevel"/>
    <w:tmpl w:val="84EE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520F1"/>
    <w:multiLevelType w:val="hybridMultilevel"/>
    <w:tmpl w:val="6D723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300D2"/>
    <w:multiLevelType w:val="hybridMultilevel"/>
    <w:tmpl w:val="347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355E0"/>
    <w:multiLevelType w:val="hybridMultilevel"/>
    <w:tmpl w:val="EF4E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32BEC"/>
    <w:multiLevelType w:val="hybridMultilevel"/>
    <w:tmpl w:val="62B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C677F"/>
    <w:multiLevelType w:val="hybridMultilevel"/>
    <w:tmpl w:val="923C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829CD"/>
    <w:multiLevelType w:val="hybridMultilevel"/>
    <w:tmpl w:val="C070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76D8C"/>
    <w:multiLevelType w:val="hybridMultilevel"/>
    <w:tmpl w:val="C1E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007D"/>
    <w:multiLevelType w:val="hybridMultilevel"/>
    <w:tmpl w:val="CF8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F50D5"/>
    <w:multiLevelType w:val="hybridMultilevel"/>
    <w:tmpl w:val="59021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1353BB"/>
    <w:multiLevelType w:val="hybridMultilevel"/>
    <w:tmpl w:val="D4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2F424A"/>
    <w:multiLevelType w:val="hybridMultilevel"/>
    <w:tmpl w:val="A9A6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E7CE8"/>
    <w:multiLevelType w:val="hybridMultilevel"/>
    <w:tmpl w:val="44B0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1B7AE9"/>
    <w:multiLevelType w:val="hybridMultilevel"/>
    <w:tmpl w:val="1ABA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A63781"/>
    <w:multiLevelType w:val="hybridMultilevel"/>
    <w:tmpl w:val="18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15A27"/>
    <w:multiLevelType w:val="hybridMultilevel"/>
    <w:tmpl w:val="8F12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0677B5"/>
    <w:multiLevelType w:val="hybridMultilevel"/>
    <w:tmpl w:val="B42A6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246FC7"/>
    <w:multiLevelType w:val="hybridMultilevel"/>
    <w:tmpl w:val="E89C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DA1807"/>
    <w:multiLevelType w:val="hybridMultilevel"/>
    <w:tmpl w:val="F0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8"/>
  </w:num>
  <w:num w:numId="5">
    <w:abstractNumId w:val="14"/>
  </w:num>
  <w:num w:numId="6">
    <w:abstractNumId w:val="8"/>
  </w:num>
  <w:num w:numId="7">
    <w:abstractNumId w:val="22"/>
  </w:num>
  <w:num w:numId="8">
    <w:abstractNumId w:val="19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3"/>
  </w:num>
  <w:num w:numId="17">
    <w:abstractNumId w:val="1"/>
  </w:num>
  <w:num w:numId="18">
    <w:abstractNumId w:val="2"/>
  </w:num>
  <w:num w:numId="19">
    <w:abstractNumId w:val="20"/>
  </w:num>
  <w:num w:numId="20">
    <w:abstractNumId w:val="13"/>
  </w:num>
  <w:num w:numId="21">
    <w:abstractNumId w:val="7"/>
  </w:num>
  <w:num w:numId="22">
    <w:abstractNumId w:val="12"/>
  </w:num>
  <w:num w:numId="23">
    <w:abstractNumId w:val="5"/>
  </w:num>
  <w:num w:numId="24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41842"/>
    <w:rsid w:val="00044E4C"/>
    <w:rsid w:val="000514D4"/>
    <w:rsid w:val="00051D13"/>
    <w:rsid w:val="00083DF5"/>
    <w:rsid w:val="000A3ADE"/>
    <w:rsid w:val="000B2CE9"/>
    <w:rsid w:val="000D0D4F"/>
    <w:rsid w:val="000F4823"/>
    <w:rsid w:val="00100C2D"/>
    <w:rsid w:val="00103A43"/>
    <w:rsid w:val="00111B8E"/>
    <w:rsid w:val="00146941"/>
    <w:rsid w:val="00167158"/>
    <w:rsid w:val="001A02A7"/>
    <w:rsid w:val="001A0823"/>
    <w:rsid w:val="001F3265"/>
    <w:rsid w:val="001F3DAC"/>
    <w:rsid w:val="00203C77"/>
    <w:rsid w:val="00231555"/>
    <w:rsid w:val="00233561"/>
    <w:rsid w:val="00241E16"/>
    <w:rsid w:val="00243B99"/>
    <w:rsid w:val="00245A9F"/>
    <w:rsid w:val="00246EA0"/>
    <w:rsid w:val="00255F08"/>
    <w:rsid w:val="00262215"/>
    <w:rsid w:val="00273036"/>
    <w:rsid w:val="00287DE0"/>
    <w:rsid w:val="00290611"/>
    <w:rsid w:val="002A39CA"/>
    <w:rsid w:val="002A6916"/>
    <w:rsid w:val="002A7477"/>
    <w:rsid w:val="002B1A53"/>
    <w:rsid w:val="002B2123"/>
    <w:rsid w:val="002D768B"/>
    <w:rsid w:val="003151BF"/>
    <w:rsid w:val="0032423C"/>
    <w:rsid w:val="00332F9A"/>
    <w:rsid w:val="0034234E"/>
    <w:rsid w:val="00344D10"/>
    <w:rsid w:val="0034531C"/>
    <w:rsid w:val="00350A98"/>
    <w:rsid w:val="00366F0A"/>
    <w:rsid w:val="003840CC"/>
    <w:rsid w:val="003A6967"/>
    <w:rsid w:val="003D017F"/>
    <w:rsid w:val="003D59D8"/>
    <w:rsid w:val="00400980"/>
    <w:rsid w:val="00430E14"/>
    <w:rsid w:val="00440707"/>
    <w:rsid w:val="00444B12"/>
    <w:rsid w:val="004652CE"/>
    <w:rsid w:val="004A4315"/>
    <w:rsid w:val="004C2E34"/>
    <w:rsid w:val="004F3222"/>
    <w:rsid w:val="004F7394"/>
    <w:rsid w:val="0050399D"/>
    <w:rsid w:val="00504F93"/>
    <w:rsid w:val="005205B4"/>
    <w:rsid w:val="00523703"/>
    <w:rsid w:val="00527409"/>
    <w:rsid w:val="00552434"/>
    <w:rsid w:val="005735CD"/>
    <w:rsid w:val="00576921"/>
    <w:rsid w:val="0058038B"/>
    <w:rsid w:val="005C46C1"/>
    <w:rsid w:val="005C7D6A"/>
    <w:rsid w:val="005E15CA"/>
    <w:rsid w:val="005E4D2D"/>
    <w:rsid w:val="005E5238"/>
    <w:rsid w:val="0062365E"/>
    <w:rsid w:val="0065207F"/>
    <w:rsid w:val="0067254A"/>
    <w:rsid w:val="006A3149"/>
    <w:rsid w:val="006C069B"/>
    <w:rsid w:val="006D7BA5"/>
    <w:rsid w:val="006F05DF"/>
    <w:rsid w:val="006F14EB"/>
    <w:rsid w:val="006F5FFA"/>
    <w:rsid w:val="00716ABB"/>
    <w:rsid w:val="00753AFA"/>
    <w:rsid w:val="00761DF6"/>
    <w:rsid w:val="0077023D"/>
    <w:rsid w:val="007A1971"/>
    <w:rsid w:val="007A45A6"/>
    <w:rsid w:val="007B143C"/>
    <w:rsid w:val="007D1975"/>
    <w:rsid w:val="007D1B84"/>
    <w:rsid w:val="00811C35"/>
    <w:rsid w:val="00813CBA"/>
    <w:rsid w:val="0081690C"/>
    <w:rsid w:val="008840F3"/>
    <w:rsid w:val="00893A71"/>
    <w:rsid w:val="008B1926"/>
    <w:rsid w:val="008F40EF"/>
    <w:rsid w:val="008F62B2"/>
    <w:rsid w:val="00910769"/>
    <w:rsid w:val="009213C1"/>
    <w:rsid w:val="009428E5"/>
    <w:rsid w:val="009565C5"/>
    <w:rsid w:val="00967B62"/>
    <w:rsid w:val="00971EBF"/>
    <w:rsid w:val="00971F61"/>
    <w:rsid w:val="00984F07"/>
    <w:rsid w:val="009857E6"/>
    <w:rsid w:val="0098781F"/>
    <w:rsid w:val="009B3949"/>
    <w:rsid w:val="009C1083"/>
    <w:rsid w:val="009C75F7"/>
    <w:rsid w:val="009D4DA8"/>
    <w:rsid w:val="009F73DB"/>
    <w:rsid w:val="00A1039F"/>
    <w:rsid w:val="00A27C28"/>
    <w:rsid w:val="00A40DC3"/>
    <w:rsid w:val="00A9284E"/>
    <w:rsid w:val="00AA0C94"/>
    <w:rsid w:val="00AA5472"/>
    <w:rsid w:val="00AB49C0"/>
    <w:rsid w:val="00AB7DBA"/>
    <w:rsid w:val="00AD50F2"/>
    <w:rsid w:val="00AD6D73"/>
    <w:rsid w:val="00B05C45"/>
    <w:rsid w:val="00B079BE"/>
    <w:rsid w:val="00B14B0F"/>
    <w:rsid w:val="00B551B8"/>
    <w:rsid w:val="00B841EA"/>
    <w:rsid w:val="00B9339A"/>
    <w:rsid w:val="00BA27EA"/>
    <w:rsid w:val="00BA55E7"/>
    <w:rsid w:val="00BB2CF6"/>
    <w:rsid w:val="00BC135B"/>
    <w:rsid w:val="00BE0E14"/>
    <w:rsid w:val="00C06F95"/>
    <w:rsid w:val="00C33312"/>
    <w:rsid w:val="00C3660C"/>
    <w:rsid w:val="00C421AD"/>
    <w:rsid w:val="00C42CC0"/>
    <w:rsid w:val="00C56A0D"/>
    <w:rsid w:val="00C6101A"/>
    <w:rsid w:val="00CA6369"/>
    <w:rsid w:val="00CC1300"/>
    <w:rsid w:val="00CD7A67"/>
    <w:rsid w:val="00CE4E0C"/>
    <w:rsid w:val="00CF30DD"/>
    <w:rsid w:val="00D0285C"/>
    <w:rsid w:val="00D1166C"/>
    <w:rsid w:val="00D27B18"/>
    <w:rsid w:val="00D633D3"/>
    <w:rsid w:val="00D928DB"/>
    <w:rsid w:val="00DA02C7"/>
    <w:rsid w:val="00DA5EA4"/>
    <w:rsid w:val="00DC3182"/>
    <w:rsid w:val="00DD1AD9"/>
    <w:rsid w:val="00DF51D6"/>
    <w:rsid w:val="00DF6505"/>
    <w:rsid w:val="00DF65DA"/>
    <w:rsid w:val="00E3390A"/>
    <w:rsid w:val="00E71D8E"/>
    <w:rsid w:val="00E93E74"/>
    <w:rsid w:val="00EA38F7"/>
    <w:rsid w:val="00EB126C"/>
    <w:rsid w:val="00EC2F62"/>
    <w:rsid w:val="00EE0213"/>
    <w:rsid w:val="00EE2807"/>
    <w:rsid w:val="00F013A5"/>
    <w:rsid w:val="00F043C0"/>
    <w:rsid w:val="00F04E14"/>
    <w:rsid w:val="00F0551C"/>
    <w:rsid w:val="00F1711F"/>
    <w:rsid w:val="00F2564A"/>
    <w:rsid w:val="00F54A7C"/>
    <w:rsid w:val="00F570EA"/>
    <w:rsid w:val="00F70687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nau.edu/Courses/course?courseId=005203&amp;catalogYear=131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ourses/course?courseId=005203&amp;catalogYear=1314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yperlink" Target="http://www4.nau.edu/avpaa/timelines/1314Effective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5ADF8-1B7C-4C0E-BD19-A01DD01F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4</cp:revision>
  <dcterms:created xsi:type="dcterms:W3CDTF">2013-10-14T17:38:00Z</dcterms:created>
  <dcterms:modified xsi:type="dcterms:W3CDTF">2013-12-20T21:27:00Z</dcterms:modified>
</cp:coreProperties>
</file>