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F54404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4942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E90F50" w:rsidP="00E90F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and Behavioral Sciences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E90F50" w:rsidP="00E90F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Visual Communication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344D10" w:rsidRDefault="00E90F50" w:rsidP="003518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Visual Communication Minor </w:t>
            </w:r>
            <w:r w:rsidR="005E700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22EDD" w:rsidRPr="00C22EDD">
              <w:rPr>
                <w:rFonts w:ascii="Arial" w:hAnsi="Arial" w:cs="Arial"/>
                <w:b/>
                <w:sz w:val="24"/>
                <w:szCs w:val="24"/>
              </w:rPr>
              <w:t>VCOMMN</w:t>
            </w:r>
            <w:r w:rsidR="00C22ED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Default="00DD1AD9" w:rsidP="00287DE0"/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F54404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F5440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F54404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F5440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F5440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4F3222" w:rsidRDefault="004F3222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F50" w:rsidRDefault="00E90F50" w:rsidP="005E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history of art and visual communication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principles of design, art, and visual literacy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process of design and visual composition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•Concept development and application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•Typographic literacy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•Computer application techniques and structure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Behavioral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 xml:space="preserve">•Development of traditional eye / hand skills ( </w:t>
            </w:r>
            <w:r w:rsidRPr="003E0373">
              <w:rPr>
                <w:rFonts w:ascii="Arial" w:hAnsi="Arial" w:cs="Arial"/>
                <w:sz w:val="24"/>
                <w:szCs w:val="24"/>
              </w:rPr>
              <w:lastRenderedPageBreak/>
              <w:t>drawing and lettering )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•Experience of creative and professional processes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•Articulation of visual solutions through verbal, visual, and written communication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Affective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•Consideration of personal and professional ethics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•Development of time and project management skills</w:t>
            </w:r>
          </w:p>
          <w:p w:rsidR="003E0373" w:rsidRPr="003E0373" w:rsidRDefault="003E0373" w:rsidP="003E0373">
            <w:pPr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•Nurturing of leadership skills within team-based structures</w:t>
            </w:r>
          </w:p>
          <w:p w:rsidR="004F3222" w:rsidRPr="00344D10" w:rsidRDefault="004F3222" w:rsidP="000F482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5E7003" w:rsidRDefault="005E70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history of art and visual communication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principles of design, art, and visual literacy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•The process of design and visual composition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•Concept development and application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</w:t>
            </w:r>
            <w:r w:rsidRPr="003E0373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Typographic literacy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lastRenderedPageBreak/>
              <w:t>•Computer application techniques and structure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Behavioral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 xml:space="preserve">•Development of traditional eye / hand skills ( drawing </w:t>
            </w:r>
            <w:r w:rsidRPr="003E0373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and lettering</w:t>
            </w:r>
            <w:r w:rsidRPr="003E037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  <w:r w:rsidRPr="003E0373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•Experience of creative and professional processes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•Articulation of visual solutions through verbal, visual, and written communication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Affective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•Consideration of personal and professional ethics</w:t>
            </w:r>
          </w:p>
          <w:p w:rsidR="003E0373" w:rsidRPr="003E0373" w:rsidRDefault="003E0373" w:rsidP="003E03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•Development of time and project management skills</w:t>
            </w:r>
          </w:p>
          <w:p w:rsidR="003E0373" w:rsidRPr="003E0373" w:rsidRDefault="003E0373" w:rsidP="003E0373">
            <w:pPr>
              <w:rPr>
                <w:rFonts w:ascii="Arial" w:hAnsi="Arial" w:cs="Arial"/>
                <w:sz w:val="24"/>
                <w:szCs w:val="24"/>
              </w:rPr>
            </w:pPr>
            <w:r w:rsidRPr="003E0373">
              <w:rPr>
                <w:rFonts w:ascii="Arial" w:hAnsi="Arial" w:cs="Arial"/>
                <w:sz w:val="24"/>
                <w:szCs w:val="24"/>
              </w:rPr>
              <w:t>•Nurturing of leadership skills within team-based structures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98"/>
        <w:gridCol w:w="5310"/>
      </w:tblGrid>
      <w:tr w:rsidR="0065207F" w:rsidTr="00C33312">
        <w:tc>
          <w:tcPr>
            <w:tcW w:w="5598" w:type="dxa"/>
          </w:tcPr>
          <w:p w:rsidR="0065207F" w:rsidRPr="0065207F" w:rsidRDefault="00F54404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F54404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E90F50" w:rsidRPr="005821C8" w:rsidRDefault="00E90F5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9803E6" w:rsidRPr="00DA7328" w:rsidRDefault="00E90F50" w:rsidP="009803E6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Visual Communication</w:t>
            </w:r>
            <w:r w:rsidR="009803E6" w:rsidRPr="00DA7328">
              <w:rPr>
                <w:rFonts w:ascii="Tahoma" w:hAnsi="Tahoma" w:cs="Tahoma"/>
                <w:sz w:val="24"/>
                <w:szCs w:val="24"/>
              </w:rPr>
              <w:t>, Minor</w:t>
            </w:r>
          </w:p>
          <w:p w:rsidR="009803E6" w:rsidRDefault="009803E6" w:rsidP="009803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803E6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2160"/>
            </w:tblGrid>
            <w:tr w:rsidR="00E90F50" w:rsidRPr="00E90F50" w:rsidTr="00E90F50">
              <w:trPr>
                <w:tblHeader/>
                <w:tblCellSpacing w:w="15" w:type="dxa"/>
              </w:trPr>
              <w:tc>
                <w:tcPr>
                  <w:tcW w:w="2920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sz w:val="16"/>
                      <w:szCs w:val="16"/>
                    </w:rPr>
                    <w:t>24</w:t>
                  </w:r>
                </w:p>
              </w:tc>
            </w:tr>
            <w:tr w:rsidR="00E90F50" w:rsidRPr="00E90F50" w:rsidTr="00E90F50">
              <w:trPr>
                <w:tblCellSpacing w:w="15" w:type="dxa"/>
              </w:trPr>
              <w:tc>
                <w:tcPr>
                  <w:tcW w:w="2920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sz w:val="16"/>
                      <w:szCs w:val="16"/>
                    </w:rPr>
                    <w:t>2.5</w:t>
                  </w:r>
                </w:p>
              </w:tc>
            </w:tr>
          </w:tbl>
          <w:p w:rsidR="009803E6" w:rsidRDefault="009803E6" w:rsidP="009803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E90F50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Take the following 24 units with a Grade of "C" or better in each course and a minimum GPA of 2.5 :</w:t>
            </w:r>
          </w:p>
          <w:p w:rsidR="00E90F50" w:rsidRPr="00E90F50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ART 135, ART 136 (6 units)</w:t>
            </w:r>
          </w:p>
          <w:p w:rsidR="00E90F50" w:rsidRPr="00E90F50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VC 101, VC 161, VC 251, VC 329, VC 331, VC 351 (18 units)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Please note that some courses may only be offered in alternate terms.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803E6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0F482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10" w:type="dxa"/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F50" w:rsidRPr="00DA7328" w:rsidRDefault="00E90F50" w:rsidP="00E90F50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Visual </w:t>
            </w:r>
            <w:r w:rsidRPr="00B53632"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>Communication</w:t>
            </w:r>
            <w:r w:rsidR="00480F39" w:rsidRPr="00DA7328">
              <w:rPr>
                <w:rFonts w:ascii="Tahoma" w:hAnsi="Tahoma" w:cs="Tahoma"/>
                <w:sz w:val="24"/>
                <w:szCs w:val="24"/>
              </w:rPr>
              <w:t>,</w:t>
            </w:r>
            <w:r w:rsidRPr="00DA7328">
              <w:rPr>
                <w:rFonts w:ascii="Tahoma" w:hAnsi="Tahoma" w:cs="Tahoma"/>
                <w:sz w:val="24"/>
                <w:szCs w:val="24"/>
              </w:rPr>
              <w:t xml:space="preserve"> Minor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2160"/>
            </w:tblGrid>
            <w:tr w:rsidR="00E90F50" w:rsidRPr="00E90F50" w:rsidTr="00E90F50">
              <w:trPr>
                <w:tblHeader/>
                <w:tblCellSpacing w:w="15" w:type="dxa"/>
              </w:trPr>
              <w:tc>
                <w:tcPr>
                  <w:tcW w:w="2920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b/>
                      <w:strike/>
                      <w:color w:val="FF0000"/>
                      <w:sz w:val="16"/>
                      <w:szCs w:val="16"/>
                    </w:rPr>
                    <w:t>24</w:t>
                  </w:r>
                  <w:r w:rsidRPr="00E90F50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</w:tr>
            <w:tr w:rsidR="00E90F50" w:rsidRPr="00E90F50" w:rsidTr="00E90F50">
              <w:trPr>
                <w:tblCellSpacing w:w="15" w:type="dxa"/>
              </w:trPr>
              <w:tc>
                <w:tcPr>
                  <w:tcW w:w="2920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b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E90F50" w:rsidRPr="00E90F50" w:rsidRDefault="00E90F50" w:rsidP="00E90F50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E90F50">
                    <w:rPr>
                      <w:rFonts w:ascii="Arial Black" w:hAnsi="Arial Black"/>
                      <w:b/>
                      <w:sz w:val="16"/>
                      <w:szCs w:val="16"/>
                    </w:rPr>
                    <w:t>2.5</w:t>
                  </w:r>
                </w:p>
              </w:tc>
            </w:tr>
          </w:tbl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E90F50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 xml:space="preserve">Take the following </w:t>
            </w:r>
            <w:r w:rsidRPr="00E90F50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24</w:t>
            </w:r>
            <w:r w:rsidRPr="00E90F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90F50"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90F50">
              <w:rPr>
                <w:rFonts w:ascii="Tahoma" w:hAnsi="Tahoma" w:cs="Tahoma"/>
                <w:sz w:val="24"/>
                <w:szCs w:val="24"/>
              </w:rPr>
              <w:t>units with a Grade of "C" or better in each course and a minimum GPA of 2.5 :</w:t>
            </w:r>
          </w:p>
          <w:p w:rsidR="00E35404" w:rsidRPr="00E35404" w:rsidRDefault="00E35404" w:rsidP="00E35404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z w:val="24"/>
                <w:szCs w:val="24"/>
              </w:rPr>
              <w:t>VC 101, VC 161, VC 251 (9 units)</w:t>
            </w:r>
          </w:p>
          <w:p w:rsidR="00E90F50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ART 135</w:t>
            </w:r>
            <w:r w:rsidRPr="00E3540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, ART 136</w:t>
            </w:r>
            <w:r w:rsidRPr="00E90F50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E3540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</w:t>
            </w:r>
            <w:r w:rsidRPr="00E90F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35404" w:rsidRPr="00E35404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E354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90F50">
              <w:rPr>
                <w:rFonts w:ascii="Tahoma" w:hAnsi="Tahoma" w:cs="Tahoma"/>
                <w:sz w:val="24"/>
                <w:szCs w:val="24"/>
              </w:rPr>
              <w:t>units)</w:t>
            </w:r>
          </w:p>
          <w:p w:rsidR="00E35404" w:rsidRDefault="00E35404" w:rsidP="00E354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z w:val="24"/>
                <w:szCs w:val="24"/>
              </w:rPr>
              <w:t>Select two courses from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the following (6 units) </w:t>
            </w:r>
          </w:p>
          <w:p w:rsidR="00E35404" w:rsidRPr="00E35404" w:rsidRDefault="00E35404" w:rsidP="00E3540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z w:val="24"/>
                <w:szCs w:val="24"/>
              </w:rPr>
              <w:t>Creative-ART 136, ART 150, PHO 181</w:t>
            </w:r>
          </w:p>
          <w:p w:rsidR="00E35404" w:rsidRPr="00E35404" w:rsidRDefault="00E35404" w:rsidP="00E3540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z w:val="24"/>
                <w:szCs w:val="24"/>
              </w:rPr>
              <w:t>Theory-COM 101, COM 131, COM 200</w:t>
            </w:r>
            <w:r w:rsidR="003E0373">
              <w:rPr>
                <w:rFonts w:ascii="Tahoma" w:hAnsi="Tahoma" w:cs="Tahoma"/>
                <w:b/>
                <w:sz w:val="24"/>
                <w:szCs w:val="24"/>
              </w:rPr>
              <w:t>, CST 111</w:t>
            </w:r>
          </w:p>
          <w:p w:rsidR="00E35404" w:rsidRPr="00E35404" w:rsidRDefault="00E35404" w:rsidP="00E3540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z w:val="24"/>
                <w:szCs w:val="24"/>
              </w:rPr>
              <w:t>History-ARH 141, ARH 142, ARH 145, ARH 257</w:t>
            </w:r>
          </w:p>
          <w:p w:rsidR="00E90F50" w:rsidRPr="00E35404" w:rsidRDefault="00E90F50" w:rsidP="00E90F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</w:pPr>
            <w:r w:rsidRPr="00E3540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VC 101, VC 161, VC 251, VC 329, VC 331, VC 351 (18 units)</w:t>
            </w:r>
          </w:p>
          <w:p w:rsid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Please note that some courses may only be offered in alternate terms.</w:t>
            </w: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0F50" w:rsidRPr="00E90F50" w:rsidRDefault="00E90F50" w:rsidP="00E90F50">
            <w:pPr>
              <w:rPr>
                <w:rFonts w:ascii="Tahoma" w:hAnsi="Tahoma" w:cs="Tahoma"/>
                <w:sz w:val="24"/>
                <w:szCs w:val="24"/>
              </w:rPr>
            </w:pPr>
            <w:r w:rsidRPr="00E90F50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65207F" w:rsidRPr="0065207F" w:rsidRDefault="0065207F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3E0373" w:rsidRPr="001A75C6" w:rsidRDefault="003E0373" w:rsidP="003E0373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A75C6">
        <w:rPr>
          <w:rFonts w:ascii="Arial" w:hAnsi="Arial" w:cs="Arial"/>
          <w:b/>
          <w:sz w:val="24"/>
          <w:szCs w:val="24"/>
        </w:rPr>
        <w:t xml:space="preserve">The proposed changes intend to make the minor in visual </w:t>
      </w:r>
      <w:r w:rsidR="00D6739E">
        <w:rPr>
          <w:rFonts w:ascii="Arial" w:hAnsi="Arial" w:cs="Arial"/>
          <w:b/>
          <w:sz w:val="24"/>
          <w:szCs w:val="24"/>
        </w:rPr>
        <w:t>communication</w:t>
      </w:r>
      <w:r w:rsidRPr="001A75C6">
        <w:rPr>
          <w:rFonts w:ascii="Arial" w:hAnsi="Arial" w:cs="Arial"/>
          <w:b/>
          <w:sz w:val="24"/>
          <w:szCs w:val="24"/>
        </w:rPr>
        <w:t xml:space="preserve"> more current and </w:t>
      </w:r>
      <w:r>
        <w:rPr>
          <w:rFonts w:ascii="Arial" w:hAnsi="Arial" w:cs="Arial"/>
          <w:b/>
          <w:sz w:val="24"/>
          <w:szCs w:val="24"/>
        </w:rPr>
        <w:t>less professionally oriented</w:t>
      </w:r>
      <w:r w:rsidRPr="001A75C6">
        <w:rPr>
          <w:rFonts w:ascii="Arial" w:hAnsi="Arial" w:cs="Arial"/>
          <w:b/>
          <w:sz w:val="24"/>
          <w:szCs w:val="24"/>
        </w:rPr>
        <w:t xml:space="preserve">. </w:t>
      </w:r>
    </w:p>
    <w:p w:rsidR="003E0373" w:rsidRPr="001A75C6" w:rsidRDefault="003E0373" w:rsidP="003E0373">
      <w:pPr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A75C6">
        <w:rPr>
          <w:rFonts w:ascii="Arial" w:hAnsi="Arial" w:cs="Arial"/>
          <w:b/>
          <w:sz w:val="24"/>
          <w:szCs w:val="24"/>
        </w:rPr>
        <w:lastRenderedPageBreak/>
        <w:t>VC 351 Computer</w:t>
      </w:r>
      <w:r>
        <w:rPr>
          <w:rFonts w:ascii="Arial" w:hAnsi="Arial" w:cs="Arial"/>
          <w:b/>
          <w:sz w:val="24"/>
          <w:szCs w:val="24"/>
        </w:rPr>
        <w:t xml:space="preserve"> Imaging II, VC 329 Graphic Design 1 and VC 331 </w:t>
      </w:r>
      <w:proofErr w:type="spellStart"/>
      <w:r>
        <w:rPr>
          <w:rFonts w:ascii="Arial" w:hAnsi="Arial" w:cs="Arial"/>
          <w:b/>
          <w:sz w:val="24"/>
          <w:szCs w:val="24"/>
        </w:rPr>
        <w:t>Typographics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provide high-end </w:t>
      </w:r>
      <w:r w:rsidRPr="001A75C6">
        <w:rPr>
          <w:rFonts w:ascii="Arial" w:hAnsi="Arial" w:cs="Arial"/>
          <w:b/>
          <w:sz w:val="24"/>
          <w:szCs w:val="24"/>
        </w:rPr>
        <w:t xml:space="preserve">digital design and web design skills </w:t>
      </w:r>
      <w:r>
        <w:rPr>
          <w:rFonts w:ascii="Arial" w:hAnsi="Arial" w:cs="Arial"/>
          <w:b/>
          <w:sz w:val="24"/>
          <w:szCs w:val="24"/>
        </w:rPr>
        <w:t xml:space="preserve">and should not be required for minors. These classes are only offered in the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semester.</w:t>
      </w:r>
    </w:p>
    <w:p w:rsidR="003E0373" w:rsidRDefault="003E0373" w:rsidP="003E0373">
      <w:pPr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Adding the choice of</w:t>
      </w:r>
      <w:r w:rsidRPr="001A75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ART 136, ART 150, </w:t>
      </w:r>
      <w:proofErr w:type="gramStart"/>
      <w:r>
        <w:rPr>
          <w:rFonts w:ascii="Arial" w:hAnsi="Arial" w:cs="Arial"/>
          <w:b/>
          <w:sz w:val="24"/>
          <w:szCs w:val="24"/>
        </w:rPr>
        <w:t>PHO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181 will make it easier for minors to complete the minor </w:t>
      </w:r>
      <w:r w:rsidRPr="001A75C6">
        <w:rPr>
          <w:rFonts w:ascii="Arial" w:hAnsi="Arial" w:cs="Arial"/>
          <w:b/>
          <w:sz w:val="24"/>
          <w:szCs w:val="24"/>
        </w:rPr>
        <w:t>without having to wait any period to fulfill additional prerequisites.</w:t>
      </w:r>
    </w:p>
    <w:p w:rsidR="003E0373" w:rsidRDefault="003E0373" w:rsidP="003E0373">
      <w:pPr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Adding the choice of COM 101, COM 131, CST 111, </w:t>
      </w:r>
      <w:proofErr w:type="gramStart"/>
      <w:r>
        <w:rPr>
          <w:rFonts w:ascii="Arial" w:hAnsi="Arial" w:cs="Arial"/>
          <w:b/>
          <w:sz w:val="24"/>
          <w:szCs w:val="24"/>
        </w:rPr>
        <w:t>COM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200 will allow additional theory to be added to the minor.</w:t>
      </w:r>
    </w:p>
    <w:p w:rsidR="003E0373" w:rsidRDefault="003E0373" w:rsidP="003E0373">
      <w:pPr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Adding the choice of ARH 141, ARH 142, ARH 145, </w:t>
      </w:r>
      <w:proofErr w:type="gramStart"/>
      <w:r>
        <w:rPr>
          <w:rFonts w:ascii="Arial" w:hAnsi="Arial" w:cs="Arial"/>
          <w:b/>
          <w:sz w:val="24"/>
          <w:szCs w:val="24"/>
        </w:rPr>
        <w:t>ARH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257 will allow further exploration of the historical aspect of design.</w:t>
      </w:r>
    </w:p>
    <w:p w:rsidR="00C3660C" w:rsidRDefault="00C3660C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F54404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F5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F54404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F54404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F5440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404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F5440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E35404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Pr="00E35404" w:rsidRDefault="00E35404" w:rsidP="000F4823">
      <w:pPr>
        <w:shd w:val="clear" w:color="auto" w:fill="D9D9D9" w:themeFill="background1" w:themeFillShade="D9"/>
        <w:rPr>
          <w:rFonts w:ascii="Arial" w:hAnsi="Arial" w:cs="Arial"/>
          <w:b/>
          <w:color w:val="FF0000"/>
          <w:sz w:val="24"/>
          <w:szCs w:val="24"/>
        </w:rPr>
      </w:pPr>
      <w:r w:rsidRPr="00F73BD0">
        <w:rPr>
          <w:rFonts w:ascii="Arial" w:hAnsi="Arial" w:cs="Arial"/>
          <w:b/>
          <w:sz w:val="24"/>
          <w:szCs w:val="24"/>
        </w:rPr>
        <w:t>See attached support from ART</w:t>
      </w:r>
      <w:r w:rsidRPr="00E35404">
        <w:rPr>
          <w:rFonts w:ascii="Arial" w:hAnsi="Arial" w:cs="Arial"/>
          <w:b/>
          <w:color w:val="FF0000"/>
          <w:sz w:val="24"/>
          <w:szCs w:val="24"/>
        </w:rPr>
        <w:t xml:space="preserve">, COM, </w:t>
      </w:r>
      <w:r w:rsidR="003E0373">
        <w:rPr>
          <w:rFonts w:ascii="Arial" w:hAnsi="Arial" w:cs="Arial"/>
          <w:b/>
          <w:color w:val="FF0000"/>
          <w:sz w:val="24"/>
          <w:szCs w:val="24"/>
        </w:rPr>
        <w:t xml:space="preserve">CST, </w:t>
      </w:r>
      <w:r w:rsidRPr="00E35404">
        <w:rPr>
          <w:rFonts w:ascii="Arial" w:hAnsi="Arial" w:cs="Arial"/>
          <w:b/>
          <w:color w:val="FF0000"/>
          <w:sz w:val="24"/>
          <w:szCs w:val="24"/>
        </w:rPr>
        <w:t xml:space="preserve">PHO, </w:t>
      </w:r>
      <w:proofErr w:type="gramStart"/>
      <w:r w:rsidRPr="00480F39">
        <w:rPr>
          <w:rFonts w:ascii="Arial" w:hAnsi="Arial" w:cs="Arial"/>
          <w:b/>
          <w:sz w:val="24"/>
          <w:szCs w:val="24"/>
        </w:rPr>
        <w:t>ARH</w:t>
      </w:r>
      <w:proofErr w:type="gramEnd"/>
      <w:r w:rsidRPr="00480F39">
        <w:rPr>
          <w:rFonts w:ascii="Arial" w:hAnsi="Arial" w:cs="Arial"/>
          <w:b/>
          <w:sz w:val="24"/>
          <w:szCs w:val="24"/>
        </w:rPr>
        <w:t xml:space="preserve"> Departments</w:t>
      </w:r>
      <w:r w:rsidRPr="00E35404">
        <w:rPr>
          <w:rFonts w:ascii="Arial" w:hAnsi="Arial" w:cs="Arial"/>
          <w:b/>
          <w:color w:val="FF0000"/>
          <w:sz w:val="24"/>
          <w:szCs w:val="24"/>
        </w:rPr>
        <w:t xml:space="preserve"> (pending)</w:t>
      </w:r>
    </w:p>
    <w:p w:rsidR="000F4823" w:rsidRDefault="000F4823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F5440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3E6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</w:t>
      </w:r>
      <w:r w:rsidR="00E354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F5440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3E6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</w:p>
    <w:p w:rsidR="00083DF5" w:rsidRDefault="00083DF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F5440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CA6DD3" w:rsidP="008C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F728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63AB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F5440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F54404">
        <w:rPr>
          <w:rFonts w:ascii="Arial" w:hAnsi="Arial" w:cs="Arial"/>
          <w:sz w:val="24"/>
          <w:szCs w:val="24"/>
        </w:rPr>
      </w:r>
      <w:r w:rsidR="00F54404">
        <w:rPr>
          <w:rFonts w:ascii="Arial" w:hAnsi="Arial" w:cs="Arial"/>
          <w:sz w:val="24"/>
          <w:szCs w:val="24"/>
        </w:rPr>
        <w:fldChar w:fldCharType="separate"/>
      </w:r>
      <w:r w:rsidR="00F54404" w:rsidRPr="00313AE8">
        <w:rPr>
          <w:rFonts w:ascii="Arial" w:hAnsi="Arial" w:cs="Arial"/>
          <w:sz w:val="24"/>
          <w:szCs w:val="24"/>
        </w:rPr>
        <w:fldChar w:fldCharType="end"/>
      </w:r>
    </w:p>
    <w:p w:rsidR="00F73BD0" w:rsidRDefault="00F73BD0">
      <w:pPr>
        <w:rPr>
          <w:rFonts w:ascii="Arial" w:hAnsi="Arial" w:cs="Arial"/>
          <w:sz w:val="24"/>
          <w:szCs w:val="24"/>
        </w:rPr>
      </w:pPr>
    </w:p>
    <w:p w:rsidR="00AA2559" w:rsidRDefault="00AA2559" w:rsidP="00AA2559">
      <w:pPr>
        <w:shd w:val="clear" w:color="auto" w:fill="DDD9C3" w:themeFill="background2" w:themeFillShade="E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Stuart S Galland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Tuesday, October 01, 2013 3:56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Pamela Kay Stephens; Thomas Anthony Patin Jr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Cc:</w:t>
      </w:r>
      <w:r>
        <w:rPr>
          <w:rFonts w:ascii="Tahoma" w:hAnsi="Tahoma" w:cs="Tahoma"/>
        </w:rPr>
        <w:t xml:space="preserve"> Jean M Boreen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Requesting Support for Visual Communication (Literacy) Minor</w:t>
      </w:r>
    </w:p>
    <w:p w:rsidR="00AA2559" w:rsidRDefault="00AA2559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Hi,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 Visual Communications is proposing to add your courses to their Minor electives list. 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 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As of February 2013, they indicated that they had only 14 students enrolled in the minor, so the impact would seem to be minimal.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 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Please let me know if your department supports this proposed change, or not.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THX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Brush Script MT" w:hAnsi="Brush Script MT" w:cs="Helvetica"/>
          <w:color w:val="1F497D"/>
          <w:sz w:val="32"/>
          <w:szCs w:val="32"/>
        </w:rPr>
        <w:t>Scott Galland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color w:val="1F497D"/>
          <w:sz w:val="22"/>
          <w:szCs w:val="22"/>
        </w:rPr>
        <w:t>Curriculum Process Associate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color w:val="1F497D"/>
          <w:sz w:val="22"/>
          <w:szCs w:val="22"/>
        </w:rPr>
        <w:t>Office of Curriculum, Learning Design, and Academic Assessment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color w:val="1F497D"/>
          <w:sz w:val="22"/>
          <w:szCs w:val="22"/>
        </w:rPr>
        <w:t>928-523-1753</w:t>
      </w:r>
    </w:p>
    <w:p w:rsidR="00F73BD0" w:rsidRDefault="00F73BD0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color w:val="1F497D"/>
          <w:sz w:val="22"/>
          <w:szCs w:val="22"/>
        </w:rPr>
        <w:t>928-699-9147 (cell)</w:t>
      </w:r>
    </w:p>
    <w:p w:rsidR="00F73BD0" w:rsidRDefault="00F54404" w:rsidP="00F73BD0">
      <w:pPr>
        <w:shd w:val="clear" w:color="auto" w:fill="DDD9C3" w:themeFill="background2" w:themeFillShade="E6"/>
        <w:rPr>
          <w:rFonts w:ascii="Calibri" w:hAnsi="Calibri" w:cs="Helvetica"/>
          <w:sz w:val="22"/>
          <w:szCs w:val="22"/>
        </w:rPr>
      </w:pPr>
      <w:hyperlink r:id="rId13" w:history="1">
        <w:r w:rsidR="00F73BD0">
          <w:rPr>
            <w:rStyle w:val="Hyperlink"/>
            <w:rFonts w:ascii="Calibri" w:hAnsi="Calibri" w:cs="Helvetica"/>
            <w:sz w:val="22"/>
            <w:szCs w:val="22"/>
          </w:rPr>
          <w:t>scott.galland@nau.edu</w:t>
        </w:r>
      </w:hyperlink>
    </w:p>
    <w:p w:rsidR="00F73BD0" w:rsidRDefault="00F73BD0" w:rsidP="00F73BD0">
      <w:pPr>
        <w:rPr>
          <w:rFonts w:ascii="Tahoma" w:hAnsi="Tahoma" w:cs="Tahoma"/>
          <w:b/>
          <w:bCs/>
        </w:rPr>
      </w:pPr>
    </w:p>
    <w:p w:rsidR="00F73BD0" w:rsidRDefault="00F73BD0" w:rsidP="00F73BD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Thomas Anthony Patin Jr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Wednesday, October 02, 2013 9:17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Stuart S Galland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Requesting Support for Visual Communication (Literacy) Minor</w:t>
      </w:r>
    </w:p>
    <w:p w:rsidR="00F73BD0" w:rsidRDefault="00F73BD0" w:rsidP="00F73BD0">
      <w:pPr>
        <w:rPr>
          <w:rFonts w:eastAsiaTheme="minorHAnsi"/>
          <w:sz w:val="24"/>
          <w:szCs w:val="24"/>
        </w:rPr>
      </w:pPr>
    </w:p>
    <w:p w:rsidR="00F73BD0" w:rsidRDefault="00F73BD0" w:rsidP="00F73BD0">
      <w:r>
        <w:t>Scot</w:t>
      </w:r>
    </w:p>
    <w:p w:rsidR="00F73BD0" w:rsidRDefault="00F73BD0" w:rsidP="00F73BD0">
      <w:r>
        <w:t>We have no objection to these changes.</w:t>
      </w:r>
    </w:p>
    <w:p w:rsidR="00F73BD0" w:rsidRDefault="00F73BD0" w:rsidP="00F73BD0"/>
    <w:p w:rsidR="00F73BD0" w:rsidRDefault="00F73BD0" w:rsidP="00F73BD0">
      <w:r>
        <w:t>Thanks</w:t>
      </w:r>
    </w:p>
    <w:p w:rsidR="00F73BD0" w:rsidRDefault="007208A1" w:rsidP="00F73BD0">
      <w:r>
        <w:t xml:space="preserve"> </w:t>
      </w:r>
      <w:r w:rsidR="00F73BD0">
        <w:t>Tom</w:t>
      </w:r>
    </w:p>
    <w:p w:rsidR="007208A1" w:rsidRDefault="007208A1" w:rsidP="00F73BD0"/>
    <w:p w:rsidR="00E716E1" w:rsidRDefault="00E716E1" w:rsidP="00E716E1">
      <w:pPr>
        <w:shd w:val="clear" w:color="auto" w:fill="DDD9C3" w:themeFill="background2" w:themeFillShade="E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David R Williams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Thursday, October 17, 2013 9:56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Stuart S Galland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Requesting Support for Visual Communication (Literacy) Minor</w:t>
      </w:r>
    </w:p>
    <w:p w:rsidR="00E716E1" w:rsidRDefault="00E716E1" w:rsidP="00E716E1">
      <w:pPr>
        <w:shd w:val="clear" w:color="auto" w:fill="DDD9C3" w:themeFill="background2" w:themeFillShade="E6"/>
        <w:rPr>
          <w:rFonts w:ascii="Calibri" w:eastAsiaTheme="minorHAnsi" w:hAnsi="Calibri"/>
          <w:sz w:val="22"/>
          <w:szCs w:val="22"/>
        </w:rPr>
      </w:pPr>
    </w:p>
    <w:p w:rsidR="00E716E1" w:rsidRDefault="00E716E1" w:rsidP="00E716E1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Hey Stuart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  <w:t>We have no problem with the changes.</w:t>
      </w:r>
      <w:r>
        <w:rPr>
          <w:rFonts w:ascii="Tahoma" w:hAnsi="Tahoma" w:cs="Tahoma"/>
          <w:color w:val="000000"/>
        </w:rPr>
        <w:br/>
        <w:t>David</w:t>
      </w:r>
    </w:p>
    <w:p w:rsidR="00F73BD0" w:rsidRDefault="00F73BD0" w:rsidP="00F73BD0"/>
    <w:p w:rsidR="00F73BD0" w:rsidRDefault="00F73BD0" w:rsidP="00F73BD0"/>
    <w:p w:rsidR="00F73BD0" w:rsidRDefault="00F73BD0" w:rsidP="00F73BD0"/>
    <w:sectPr w:rsidR="00F73BD0" w:rsidSect="001A02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50" w:rsidRDefault="00E90F50" w:rsidP="00233561">
      <w:r>
        <w:separator/>
      </w:r>
    </w:p>
  </w:endnote>
  <w:endnote w:type="continuationSeparator" w:id="0">
    <w:p w:rsidR="00E90F50" w:rsidRDefault="00E90F50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E90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F54404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E90F50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E90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50" w:rsidRDefault="00E90F50" w:rsidP="00233561">
      <w:r>
        <w:separator/>
      </w:r>
    </w:p>
  </w:footnote>
  <w:footnote w:type="continuationSeparator" w:id="0">
    <w:p w:rsidR="00E90F50" w:rsidRDefault="00E90F50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E90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E90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50" w:rsidRDefault="00E90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34"/>
    <w:multiLevelType w:val="hybridMultilevel"/>
    <w:tmpl w:val="96AA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60CFA"/>
    <w:multiLevelType w:val="hybridMultilevel"/>
    <w:tmpl w:val="20D4C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47E32"/>
    <w:multiLevelType w:val="hybridMultilevel"/>
    <w:tmpl w:val="79A8A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97EA2"/>
    <w:multiLevelType w:val="hybridMultilevel"/>
    <w:tmpl w:val="D7D46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F4FC0"/>
    <w:multiLevelType w:val="hybridMultilevel"/>
    <w:tmpl w:val="93CA1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6127B"/>
    <w:multiLevelType w:val="hybridMultilevel"/>
    <w:tmpl w:val="4440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B1D5C"/>
    <w:multiLevelType w:val="hybridMultilevel"/>
    <w:tmpl w:val="039CE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264AA"/>
    <w:multiLevelType w:val="hybridMultilevel"/>
    <w:tmpl w:val="2AC8A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A591D"/>
    <w:multiLevelType w:val="hybridMultilevel"/>
    <w:tmpl w:val="CE3C7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9A1826"/>
    <w:multiLevelType w:val="hybridMultilevel"/>
    <w:tmpl w:val="F2C280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C6530"/>
    <w:multiLevelType w:val="multilevel"/>
    <w:tmpl w:val="7EF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221C6"/>
    <w:multiLevelType w:val="hybridMultilevel"/>
    <w:tmpl w:val="D74AA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7075C9"/>
    <w:multiLevelType w:val="hybridMultilevel"/>
    <w:tmpl w:val="E6722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D51C6B"/>
    <w:multiLevelType w:val="hybridMultilevel"/>
    <w:tmpl w:val="B59A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787004"/>
    <w:multiLevelType w:val="hybridMultilevel"/>
    <w:tmpl w:val="249A869C"/>
    <w:lvl w:ilvl="0" w:tplc="52C84B4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062744"/>
    <w:multiLevelType w:val="hybridMultilevel"/>
    <w:tmpl w:val="0A083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44EF0"/>
    <w:multiLevelType w:val="hybridMultilevel"/>
    <w:tmpl w:val="16BA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A6F81"/>
    <w:multiLevelType w:val="hybridMultilevel"/>
    <w:tmpl w:val="0A7A6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E2107"/>
    <w:multiLevelType w:val="hybridMultilevel"/>
    <w:tmpl w:val="95960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C5918"/>
    <w:multiLevelType w:val="hybridMultilevel"/>
    <w:tmpl w:val="607E5A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E328D"/>
    <w:multiLevelType w:val="hybridMultilevel"/>
    <w:tmpl w:val="F76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E36E7D"/>
    <w:multiLevelType w:val="hybridMultilevel"/>
    <w:tmpl w:val="F9BEB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910D89"/>
    <w:multiLevelType w:val="hybridMultilevel"/>
    <w:tmpl w:val="C1A68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2419B"/>
    <w:multiLevelType w:val="hybridMultilevel"/>
    <w:tmpl w:val="2CD2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75394"/>
    <w:multiLevelType w:val="hybridMultilevel"/>
    <w:tmpl w:val="5DD891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712C78"/>
    <w:multiLevelType w:val="hybridMultilevel"/>
    <w:tmpl w:val="714C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307C5C"/>
    <w:multiLevelType w:val="hybridMultilevel"/>
    <w:tmpl w:val="41D2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4117F4"/>
    <w:multiLevelType w:val="hybridMultilevel"/>
    <w:tmpl w:val="53288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B9399E"/>
    <w:multiLevelType w:val="hybridMultilevel"/>
    <w:tmpl w:val="223E0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03CCD"/>
    <w:multiLevelType w:val="hybridMultilevel"/>
    <w:tmpl w:val="9F180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1B4D0C"/>
    <w:multiLevelType w:val="hybridMultilevel"/>
    <w:tmpl w:val="2BCA4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23"/>
  </w:num>
  <w:num w:numId="5">
    <w:abstractNumId w:val="20"/>
  </w:num>
  <w:num w:numId="6">
    <w:abstractNumId w:val="0"/>
  </w:num>
  <w:num w:numId="7">
    <w:abstractNumId w:val="16"/>
  </w:num>
  <w:num w:numId="8">
    <w:abstractNumId w:val="4"/>
  </w:num>
  <w:num w:numId="9">
    <w:abstractNumId w:val="1"/>
  </w:num>
  <w:num w:numId="10">
    <w:abstractNumId w:val="21"/>
  </w:num>
  <w:num w:numId="11">
    <w:abstractNumId w:val="24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6"/>
  </w:num>
  <w:num w:numId="21">
    <w:abstractNumId w:val="30"/>
  </w:num>
  <w:num w:numId="22">
    <w:abstractNumId w:val="9"/>
  </w:num>
  <w:num w:numId="23">
    <w:abstractNumId w:val="15"/>
  </w:num>
  <w:num w:numId="24">
    <w:abstractNumId w:val="12"/>
  </w:num>
  <w:num w:numId="25">
    <w:abstractNumId w:val="10"/>
  </w:num>
  <w:num w:numId="26">
    <w:abstractNumId w:val="11"/>
  </w:num>
  <w:num w:numId="27">
    <w:abstractNumId w:val="5"/>
  </w:num>
  <w:num w:numId="28">
    <w:abstractNumId w:val="13"/>
  </w:num>
  <w:num w:numId="29">
    <w:abstractNumId w:val="3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376C8"/>
    <w:rsid w:val="00041842"/>
    <w:rsid w:val="000514D4"/>
    <w:rsid w:val="00051D13"/>
    <w:rsid w:val="00083DF5"/>
    <w:rsid w:val="000A3ADE"/>
    <w:rsid w:val="000B2CE9"/>
    <w:rsid w:val="000D0D4F"/>
    <w:rsid w:val="000F4823"/>
    <w:rsid w:val="000F764D"/>
    <w:rsid w:val="00103A43"/>
    <w:rsid w:val="00111B8E"/>
    <w:rsid w:val="00125F5B"/>
    <w:rsid w:val="00146941"/>
    <w:rsid w:val="00167158"/>
    <w:rsid w:val="001A02A7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39CA"/>
    <w:rsid w:val="002A6916"/>
    <w:rsid w:val="002A7477"/>
    <w:rsid w:val="002B1A53"/>
    <w:rsid w:val="002B2123"/>
    <w:rsid w:val="002D768B"/>
    <w:rsid w:val="002E02A9"/>
    <w:rsid w:val="002E7FAE"/>
    <w:rsid w:val="003151BF"/>
    <w:rsid w:val="00332F9A"/>
    <w:rsid w:val="0034234E"/>
    <w:rsid w:val="00344D10"/>
    <w:rsid w:val="0034531C"/>
    <w:rsid w:val="00350A98"/>
    <w:rsid w:val="0035181E"/>
    <w:rsid w:val="003840CC"/>
    <w:rsid w:val="003A6967"/>
    <w:rsid w:val="003D017F"/>
    <w:rsid w:val="003D59D8"/>
    <w:rsid w:val="003E0373"/>
    <w:rsid w:val="003E0679"/>
    <w:rsid w:val="003F2500"/>
    <w:rsid w:val="00400980"/>
    <w:rsid w:val="00430E14"/>
    <w:rsid w:val="00436EBF"/>
    <w:rsid w:val="00440707"/>
    <w:rsid w:val="00444B12"/>
    <w:rsid w:val="004652CE"/>
    <w:rsid w:val="00480F39"/>
    <w:rsid w:val="0049427A"/>
    <w:rsid w:val="004A4315"/>
    <w:rsid w:val="004F3222"/>
    <w:rsid w:val="004F7394"/>
    <w:rsid w:val="0050399D"/>
    <w:rsid w:val="00504F93"/>
    <w:rsid w:val="00513592"/>
    <w:rsid w:val="00523703"/>
    <w:rsid w:val="00527409"/>
    <w:rsid w:val="00552434"/>
    <w:rsid w:val="005735CD"/>
    <w:rsid w:val="0058038B"/>
    <w:rsid w:val="005C46C1"/>
    <w:rsid w:val="005C7D6A"/>
    <w:rsid w:val="005E15CA"/>
    <w:rsid w:val="005E4D2D"/>
    <w:rsid w:val="005E5238"/>
    <w:rsid w:val="005E7003"/>
    <w:rsid w:val="00615127"/>
    <w:rsid w:val="0062365E"/>
    <w:rsid w:val="0065207F"/>
    <w:rsid w:val="006A3149"/>
    <w:rsid w:val="006C069B"/>
    <w:rsid w:val="006D4B30"/>
    <w:rsid w:val="006F05DF"/>
    <w:rsid w:val="006F14EB"/>
    <w:rsid w:val="006F5FFA"/>
    <w:rsid w:val="00716ABB"/>
    <w:rsid w:val="007208A1"/>
    <w:rsid w:val="00753AFA"/>
    <w:rsid w:val="00761DF6"/>
    <w:rsid w:val="0077023D"/>
    <w:rsid w:val="007A1971"/>
    <w:rsid w:val="007A45A6"/>
    <w:rsid w:val="007D1975"/>
    <w:rsid w:val="007D1B84"/>
    <w:rsid w:val="00811C35"/>
    <w:rsid w:val="00813CBA"/>
    <w:rsid w:val="0081690C"/>
    <w:rsid w:val="00893A71"/>
    <w:rsid w:val="008C63AB"/>
    <w:rsid w:val="008E5912"/>
    <w:rsid w:val="008F40EF"/>
    <w:rsid w:val="008F62B2"/>
    <w:rsid w:val="00910769"/>
    <w:rsid w:val="009213C1"/>
    <w:rsid w:val="009428E5"/>
    <w:rsid w:val="009565C5"/>
    <w:rsid w:val="00967B62"/>
    <w:rsid w:val="00971F61"/>
    <w:rsid w:val="009803E6"/>
    <w:rsid w:val="009857E6"/>
    <w:rsid w:val="009B3949"/>
    <w:rsid w:val="009C1083"/>
    <w:rsid w:val="009C1339"/>
    <w:rsid w:val="009C75F7"/>
    <w:rsid w:val="00A40DC3"/>
    <w:rsid w:val="00A54DFD"/>
    <w:rsid w:val="00A9284E"/>
    <w:rsid w:val="00AA2559"/>
    <w:rsid w:val="00AA5472"/>
    <w:rsid w:val="00AB7DBA"/>
    <w:rsid w:val="00AD50F2"/>
    <w:rsid w:val="00AD6D73"/>
    <w:rsid w:val="00B079BE"/>
    <w:rsid w:val="00B53632"/>
    <w:rsid w:val="00B841EA"/>
    <w:rsid w:val="00BA27EA"/>
    <w:rsid w:val="00BA55E7"/>
    <w:rsid w:val="00BB2CF6"/>
    <w:rsid w:val="00BE0E14"/>
    <w:rsid w:val="00C22EDD"/>
    <w:rsid w:val="00C33312"/>
    <w:rsid w:val="00C3660C"/>
    <w:rsid w:val="00C42CC0"/>
    <w:rsid w:val="00C56A0D"/>
    <w:rsid w:val="00C6101A"/>
    <w:rsid w:val="00CA6369"/>
    <w:rsid w:val="00CA6DD3"/>
    <w:rsid w:val="00CD7A67"/>
    <w:rsid w:val="00CE4E0C"/>
    <w:rsid w:val="00CF30DD"/>
    <w:rsid w:val="00D1166C"/>
    <w:rsid w:val="00D27B18"/>
    <w:rsid w:val="00D633D3"/>
    <w:rsid w:val="00D6739E"/>
    <w:rsid w:val="00D928DB"/>
    <w:rsid w:val="00DA02C7"/>
    <w:rsid w:val="00DC70F6"/>
    <w:rsid w:val="00DD1AD9"/>
    <w:rsid w:val="00DF51D6"/>
    <w:rsid w:val="00DF6505"/>
    <w:rsid w:val="00E3390A"/>
    <w:rsid w:val="00E35404"/>
    <w:rsid w:val="00E716E1"/>
    <w:rsid w:val="00E90F50"/>
    <w:rsid w:val="00E93E74"/>
    <w:rsid w:val="00EA38F7"/>
    <w:rsid w:val="00EC2F62"/>
    <w:rsid w:val="00EE0213"/>
    <w:rsid w:val="00EE2807"/>
    <w:rsid w:val="00F013A5"/>
    <w:rsid w:val="00F04E14"/>
    <w:rsid w:val="00F1711F"/>
    <w:rsid w:val="00F54404"/>
    <w:rsid w:val="00F54A7C"/>
    <w:rsid w:val="00F570EA"/>
    <w:rsid w:val="00F728BA"/>
    <w:rsid w:val="00F73BD0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ott.galland@nau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FC799-8067-4502-B7C1-B67F51E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20</cp:revision>
  <dcterms:created xsi:type="dcterms:W3CDTF">2013-09-24T20:27:00Z</dcterms:created>
  <dcterms:modified xsi:type="dcterms:W3CDTF">2013-10-29T21:05:00Z</dcterms:modified>
</cp:coreProperties>
</file>