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A67CD"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035B6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B11527" w:rsidP="00B11527">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35B61" w:rsidP="00120D34">
            <w:pPr>
              <w:rPr>
                <w:rFonts w:ascii="Arial" w:hAnsi="Arial" w:cs="Arial"/>
                <w:b/>
                <w:sz w:val="24"/>
                <w:szCs w:val="24"/>
              </w:rPr>
            </w:pPr>
            <w:r>
              <w:rPr>
                <w:rFonts w:ascii="Arial" w:hAnsi="Arial" w:cs="Arial"/>
                <w:b/>
                <w:sz w:val="24"/>
                <w:szCs w:val="24"/>
              </w:rPr>
              <w:t>Global Languages and Cultures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035B61" w:rsidP="00035B61">
            <w:pPr>
              <w:rPr>
                <w:rFonts w:ascii="Arial" w:hAnsi="Arial" w:cs="Arial"/>
                <w:b/>
                <w:sz w:val="24"/>
                <w:szCs w:val="24"/>
              </w:rPr>
            </w:pPr>
            <w:r>
              <w:rPr>
                <w:rFonts w:ascii="Arial" w:hAnsi="Arial" w:cs="Arial"/>
                <w:b/>
                <w:sz w:val="24"/>
                <w:szCs w:val="24"/>
              </w:rPr>
              <w:t xml:space="preserve">French </w:t>
            </w:r>
            <w:r w:rsidR="00C17563">
              <w:rPr>
                <w:rFonts w:ascii="Arial" w:hAnsi="Arial" w:cs="Arial"/>
                <w:b/>
                <w:sz w:val="24"/>
                <w:szCs w:val="24"/>
              </w:rPr>
              <w:t>Minor</w:t>
            </w:r>
            <w:r w:rsidR="00120D34">
              <w:rPr>
                <w:rFonts w:ascii="Arial" w:hAnsi="Arial" w:cs="Arial"/>
                <w:b/>
                <w:sz w:val="24"/>
                <w:szCs w:val="24"/>
              </w:rPr>
              <w:t xml:space="preserve"> </w:t>
            </w:r>
            <w:r w:rsidR="00C421AD" w:rsidRPr="00AB49C0">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FREMN</w:t>
            </w:r>
            <w:r w:rsidR="00120D34">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A67CD"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A67CD"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A67CD"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A67CD"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A67CD"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20257F" w:rsidRPr="0020257F" w:rsidRDefault="0020257F" w:rsidP="00F570EA">
            <w:pPr>
              <w:rPr>
                <w:rFonts w:ascii="Arial" w:hAnsi="Arial" w:cs="Arial"/>
                <w:b/>
                <w:sz w:val="24"/>
                <w:szCs w:val="24"/>
              </w:rPr>
            </w:pPr>
          </w:p>
          <w:p w:rsidR="00B3705C" w:rsidRDefault="00B3705C" w:rsidP="00B3705C">
            <w:pPr>
              <w:rPr>
                <w:rFonts w:ascii="Arial" w:hAnsi="Arial" w:cs="Arial"/>
                <w:b/>
                <w:color w:val="FF0000"/>
                <w:sz w:val="24"/>
                <w:szCs w:val="24"/>
              </w:rPr>
            </w:pPr>
          </w:p>
          <w:p w:rsidR="006841E0" w:rsidRPr="006841E0" w:rsidRDefault="006841E0" w:rsidP="006841E0">
            <w:pPr>
              <w:widowControl w:val="0"/>
              <w:autoSpaceDE w:val="0"/>
              <w:autoSpaceDN w:val="0"/>
              <w:adjustRightInd w:val="0"/>
              <w:rPr>
                <w:rFonts w:ascii="Arial" w:hAnsi="Arial" w:cs="Arial"/>
                <w:sz w:val="24"/>
                <w:szCs w:val="24"/>
                <w:lang w:eastAsia="ja-JP"/>
              </w:rPr>
            </w:pPr>
            <w:r w:rsidRPr="006841E0">
              <w:rPr>
                <w:rFonts w:ascii="Arial" w:hAnsi="Arial" w:cs="Arial"/>
                <w:bCs/>
                <w:sz w:val="24"/>
                <w:szCs w:val="24"/>
                <w:u w:val="single"/>
                <w:lang w:eastAsia="ja-JP"/>
              </w:rPr>
              <w:t>Learning Outcomes for Minor in French</w:t>
            </w:r>
            <w:r w:rsidRPr="006841E0">
              <w:rPr>
                <w:rFonts w:ascii="Arial" w:hAnsi="Arial" w:cs="Arial"/>
                <w:sz w:val="24"/>
                <w:szCs w:val="24"/>
                <w:lang w:eastAsia="ja-JP"/>
              </w:rPr>
              <w:t>:</w:t>
            </w:r>
          </w:p>
          <w:p w:rsidR="006841E0" w:rsidRPr="006841E0" w:rsidRDefault="006841E0" w:rsidP="006841E0">
            <w:pPr>
              <w:widowControl w:val="0"/>
              <w:autoSpaceDE w:val="0"/>
              <w:autoSpaceDN w:val="0"/>
              <w:adjustRightInd w:val="0"/>
              <w:rPr>
                <w:rFonts w:ascii="Arial" w:hAnsi="Arial" w:cs="Arial"/>
                <w:sz w:val="24"/>
                <w:szCs w:val="24"/>
                <w:lang w:eastAsia="ja-JP"/>
              </w:rPr>
            </w:pPr>
            <w:r w:rsidRPr="006841E0">
              <w:rPr>
                <w:rFonts w:ascii="Arial" w:hAnsi="Arial" w:cs="Arial"/>
                <w:sz w:val="24"/>
                <w:szCs w:val="24"/>
                <w:lang w:eastAsia="ja-JP"/>
              </w:rPr>
              <w:t> • The student will be able to speak in French with ease and confidence when dealing with routine tasks and social situations. They will be able to exchange information related to their work, school, recreation, particular interests, and areas of competence.</w:t>
            </w:r>
          </w:p>
          <w:p w:rsidR="006841E0" w:rsidRPr="006841E0" w:rsidRDefault="006841E0" w:rsidP="006841E0">
            <w:pPr>
              <w:widowControl w:val="0"/>
              <w:autoSpaceDE w:val="0"/>
              <w:autoSpaceDN w:val="0"/>
              <w:adjustRightInd w:val="0"/>
              <w:rPr>
                <w:rFonts w:ascii="Arial" w:hAnsi="Arial" w:cs="Arial"/>
                <w:sz w:val="24"/>
                <w:szCs w:val="24"/>
                <w:lang w:eastAsia="ja-JP"/>
              </w:rPr>
            </w:pPr>
            <w:r w:rsidRPr="006841E0">
              <w:rPr>
                <w:rFonts w:ascii="Arial" w:hAnsi="Arial" w:cs="Arial"/>
                <w:sz w:val="24"/>
                <w:szCs w:val="24"/>
                <w:lang w:eastAsia="ja-JP"/>
              </w:rPr>
              <w:t xml:space="preserve"> • The student will be able to write compositions and summaries related to work and/or school </w:t>
            </w:r>
            <w:r w:rsidRPr="006841E0">
              <w:rPr>
                <w:rFonts w:ascii="Arial" w:hAnsi="Arial" w:cs="Arial"/>
                <w:sz w:val="24"/>
                <w:szCs w:val="24"/>
                <w:lang w:eastAsia="ja-JP"/>
              </w:rPr>
              <w:lastRenderedPageBreak/>
              <w:t>experiences, and to meet all practical writing needs. They can narrate and describe in different time frames when writing about everyday events and situations.</w:t>
            </w:r>
          </w:p>
          <w:p w:rsidR="006841E0" w:rsidRPr="006841E0" w:rsidRDefault="006841E0" w:rsidP="006841E0">
            <w:pPr>
              <w:widowControl w:val="0"/>
              <w:autoSpaceDE w:val="0"/>
              <w:autoSpaceDN w:val="0"/>
              <w:adjustRightInd w:val="0"/>
              <w:rPr>
                <w:rFonts w:ascii="Arial" w:hAnsi="Arial" w:cs="Arial"/>
                <w:sz w:val="24"/>
                <w:szCs w:val="24"/>
                <w:lang w:eastAsia="ja-JP"/>
              </w:rPr>
            </w:pPr>
            <w:r w:rsidRPr="006841E0">
              <w:rPr>
                <w:rFonts w:ascii="Arial" w:hAnsi="Arial" w:cs="Arial"/>
                <w:sz w:val="24"/>
                <w:szCs w:val="24"/>
                <w:lang w:eastAsia="ja-JP"/>
              </w:rPr>
              <w:t> • The student will be able to listen to and understand, with ease and confidence, speech in basic personal and social contexts.</w:t>
            </w:r>
          </w:p>
          <w:p w:rsidR="006841E0" w:rsidRPr="006841E0" w:rsidRDefault="006841E0" w:rsidP="006841E0">
            <w:pPr>
              <w:widowControl w:val="0"/>
              <w:autoSpaceDE w:val="0"/>
              <w:autoSpaceDN w:val="0"/>
              <w:adjustRightInd w:val="0"/>
              <w:rPr>
                <w:rFonts w:ascii="Arial" w:hAnsi="Arial" w:cs="Arial"/>
                <w:sz w:val="24"/>
                <w:szCs w:val="24"/>
                <w:lang w:eastAsia="ja-JP"/>
              </w:rPr>
            </w:pPr>
            <w:r w:rsidRPr="006841E0">
              <w:rPr>
                <w:rFonts w:ascii="Arial" w:hAnsi="Arial" w:cs="Arial"/>
                <w:sz w:val="24"/>
                <w:szCs w:val="24"/>
                <w:lang w:eastAsia="ja-JP"/>
              </w:rPr>
              <w:t> • The student will be able to read and understand fully and with ease non-specialized texts that convey information and deal with personal and social topics to which the reader brings personal interest or knowledge.</w:t>
            </w:r>
          </w:p>
          <w:p w:rsidR="006841E0" w:rsidRPr="006841E0" w:rsidRDefault="006841E0" w:rsidP="006841E0">
            <w:pPr>
              <w:rPr>
                <w:rFonts w:ascii="Arial" w:hAnsi="Arial" w:cs="Arial"/>
                <w:sz w:val="24"/>
                <w:szCs w:val="24"/>
                <w:lang w:eastAsia="ja-JP"/>
              </w:rPr>
            </w:pPr>
            <w:r w:rsidRPr="006841E0">
              <w:rPr>
                <w:rFonts w:ascii="Arial" w:hAnsi="Arial" w:cs="Arial"/>
                <w:sz w:val="24"/>
                <w:szCs w:val="24"/>
                <w:lang w:eastAsia="ja-JP"/>
              </w:rPr>
              <w:t>The student will also be able to understand specialized and literary texts featuring description and narration with minimal gaps in understanding.</w:t>
            </w:r>
          </w:p>
          <w:p w:rsidR="006841E0" w:rsidRPr="006841E0" w:rsidRDefault="006841E0" w:rsidP="006841E0">
            <w:pPr>
              <w:rPr>
                <w:rFonts w:ascii="Arial" w:hAnsi="Arial" w:cs="Arial"/>
                <w:sz w:val="24"/>
                <w:szCs w:val="24"/>
              </w:rPr>
            </w:pPr>
            <w:r w:rsidRPr="006841E0">
              <w:rPr>
                <w:rFonts w:ascii="Arial" w:hAnsi="Arial" w:cs="Arial"/>
                <w:sz w:val="24"/>
                <w:szCs w:val="24"/>
                <w:lang w:eastAsia="ja-JP"/>
              </w:rPr>
              <w:t>•The student will have a fundamental understanding of the cultures in which the language is spoken and the ways in which the language reflects cultural values.</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BA67CD" w:rsidP="0065207F">
            <w:pPr>
              <w:pStyle w:val="Heading3"/>
              <w:spacing w:line="260" w:lineRule="auto"/>
              <w:outlineLvl w:val="2"/>
              <w:rPr>
                <w:rFonts w:ascii="Arial" w:hAnsi="Arial" w:cs="Arial"/>
                <w:szCs w:val="24"/>
              </w:rPr>
            </w:pPr>
            <w:r w:rsidRPr="00BA67CD">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style="mso-next-textbox:#Text Box 2">
                    <w:txbxContent>
                      <w:p w:rsidR="006224F1" w:rsidRPr="005821C8" w:rsidRDefault="006224F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B3705C" w:rsidP="000F4823">
            <w:pPr>
              <w:pStyle w:val="Heading4"/>
              <w:outlineLvl w:val="3"/>
              <w:rPr>
                <w:rFonts w:ascii="Tahoma" w:hAnsi="Tahoma" w:cs="Tahoma"/>
                <w:sz w:val="24"/>
                <w:szCs w:val="24"/>
              </w:rPr>
            </w:pPr>
            <w:r>
              <w:rPr>
                <w:rFonts w:ascii="Tahoma" w:hAnsi="Tahoma" w:cs="Tahoma"/>
                <w:sz w:val="24"/>
                <w:szCs w:val="24"/>
              </w:rPr>
              <w:t>French</w:t>
            </w:r>
            <w:r w:rsidR="00C17563">
              <w:rPr>
                <w:rFonts w:ascii="Tahoma" w:hAnsi="Tahoma" w:cs="Tahoma"/>
                <w:sz w:val="24"/>
                <w:szCs w:val="24"/>
              </w:rPr>
              <w:t xml:space="preserve"> Minor</w:t>
            </w:r>
            <w:r w:rsidR="00C421AD">
              <w:rPr>
                <w:rFonts w:ascii="Tahoma" w:hAnsi="Tahoma" w:cs="Tahoma"/>
                <w:sz w:val="24"/>
                <w:szCs w:val="24"/>
              </w:rPr>
              <w:t xml:space="preserve"> </w:t>
            </w:r>
            <w:r w:rsidR="000F4823">
              <w:rPr>
                <w:rFonts w:ascii="Tahoma" w:hAnsi="Tahoma" w:cs="Tahoma"/>
                <w:sz w:val="24"/>
                <w:szCs w:val="24"/>
              </w:rPr>
              <w:t xml:space="preserve">  </w:t>
            </w:r>
          </w:p>
          <w:p w:rsidR="00120D34" w:rsidRDefault="00120D34" w:rsidP="00120D34"/>
          <w:p w:rsidR="00B3705C" w:rsidRPr="00B3705C" w:rsidRDefault="00B3705C" w:rsidP="00B3705C">
            <w:pPr>
              <w:rPr>
                <w:rFonts w:ascii="Tahoma" w:hAnsi="Tahoma" w:cs="Tahoma"/>
                <w:sz w:val="24"/>
                <w:szCs w:val="24"/>
              </w:rPr>
            </w:pPr>
            <w:r w:rsidRPr="00B3705C">
              <w:rPr>
                <w:rFonts w:ascii="Tahoma" w:hAnsi="Tahoma" w:cs="Tahoma"/>
                <w:sz w:val="24"/>
                <w:szCs w:val="24"/>
              </w:rPr>
              <w:t>In addition to University Requirements:</w:t>
            </w:r>
          </w:p>
          <w:p w:rsidR="00B3705C" w:rsidRDefault="00B3705C" w:rsidP="00B3705C">
            <w:pPr>
              <w:rPr>
                <w:rFonts w:ascii="Tahoma" w:hAnsi="Tahoma" w:cs="Tahoma"/>
                <w:sz w:val="24"/>
                <w:szCs w:val="24"/>
              </w:rPr>
            </w:pPr>
          </w:p>
          <w:p w:rsidR="00B3705C" w:rsidRPr="00B3705C" w:rsidRDefault="00B3705C" w:rsidP="00B3705C">
            <w:pPr>
              <w:pStyle w:val="ListParagraph"/>
              <w:numPr>
                <w:ilvl w:val="0"/>
                <w:numId w:val="35"/>
              </w:numPr>
              <w:rPr>
                <w:rFonts w:ascii="Tahoma" w:hAnsi="Tahoma" w:cs="Tahoma"/>
                <w:sz w:val="24"/>
                <w:szCs w:val="24"/>
              </w:rPr>
            </w:pPr>
            <w:r w:rsidRPr="00B3705C">
              <w:rPr>
                <w:rFonts w:ascii="Tahoma" w:hAnsi="Tahoma" w:cs="Tahoma"/>
                <w:sz w:val="24"/>
                <w:szCs w:val="24"/>
              </w:rPr>
              <w:t>Complete individual plan requirements.</w:t>
            </w:r>
          </w:p>
          <w:p w:rsidR="00B3705C" w:rsidRPr="00B3705C" w:rsidRDefault="00B3705C" w:rsidP="00B3705C">
            <w:pPr>
              <w:rPr>
                <w:rFonts w:ascii="Tahoma" w:hAnsi="Tahoma" w:cs="Tahoma"/>
                <w:sz w:val="24"/>
                <w:szCs w:val="24"/>
              </w:rPr>
            </w:pPr>
          </w:p>
          <w:p w:rsidR="00C17563" w:rsidRDefault="00B3705C" w:rsidP="00B3705C">
            <w:pPr>
              <w:rPr>
                <w:rFonts w:ascii="Tahoma" w:hAnsi="Tahoma" w:cs="Tahoma"/>
                <w:sz w:val="24"/>
                <w:szCs w:val="24"/>
              </w:rPr>
            </w:pPr>
            <w:r w:rsidRPr="00B3705C">
              <w:rPr>
                <w:rFonts w:ascii="Tahoma" w:hAnsi="Tahoma" w:cs="Tahoma"/>
                <w:sz w:val="24"/>
                <w:szCs w:val="24"/>
              </w:rPr>
              <w:t>Please note that you may be able to use some courses to meet more than one requirement. Contact your advisor for details.</w:t>
            </w:r>
          </w:p>
          <w:p w:rsidR="00B11527" w:rsidRDefault="00B11527" w:rsidP="00B11527">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250"/>
            </w:tblGrid>
            <w:tr w:rsidR="00B3705C" w:rsidRPr="00B3705C" w:rsidTr="00B3705C">
              <w:trPr>
                <w:tblHeader/>
                <w:tblCellSpacing w:w="15" w:type="dxa"/>
              </w:trPr>
              <w:tc>
                <w:tcPr>
                  <w:tcW w:w="2740"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Minimum Units for Completion</w:t>
                  </w:r>
                </w:p>
              </w:tc>
              <w:tc>
                <w:tcPr>
                  <w:tcW w:w="2205"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20</w:t>
                  </w:r>
                </w:p>
              </w:tc>
            </w:tr>
            <w:tr w:rsidR="00B3705C" w:rsidRPr="00B3705C" w:rsidTr="00B3705C">
              <w:trPr>
                <w:tblCellSpacing w:w="15" w:type="dxa"/>
              </w:trPr>
              <w:tc>
                <w:tcPr>
                  <w:tcW w:w="2740"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GPA</w:t>
                  </w:r>
                </w:p>
              </w:tc>
              <w:tc>
                <w:tcPr>
                  <w:tcW w:w="2205"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C</w:t>
                  </w:r>
                </w:p>
              </w:tc>
            </w:tr>
            <w:tr w:rsidR="00B3705C" w:rsidRPr="00B3705C" w:rsidTr="00B3705C">
              <w:trPr>
                <w:tblCellSpacing w:w="15" w:type="dxa"/>
              </w:trPr>
              <w:tc>
                <w:tcPr>
                  <w:tcW w:w="2740"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Foreign Language</w:t>
                  </w:r>
                </w:p>
              </w:tc>
              <w:tc>
                <w:tcPr>
                  <w:tcW w:w="2205" w:type="dxa"/>
                  <w:vAlign w:val="center"/>
                  <w:hideMark/>
                </w:tcPr>
                <w:p w:rsidR="00B3705C" w:rsidRPr="00B3705C" w:rsidRDefault="00B3705C" w:rsidP="00B3705C">
                  <w:pPr>
                    <w:rPr>
                      <w:rFonts w:ascii="Tahoma" w:hAnsi="Tahoma" w:cs="Tahoma"/>
                      <w:sz w:val="16"/>
                      <w:szCs w:val="16"/>
                    </w:rPr>
                  </w:pPr>
                  <w:r w:rsidRPr="00B3705C">
                    <w:rPr>
                      <w:rFonts w:ascii="Tahoma" w:hAnsi="Tahoma" w:cs="Tahoma"/>
                      <w:sz w:val="16"/>
                      <w:szCs w:val="16"/>
                    </w:rPr>
                    <w:t>Required</w:t>
                  </w:r>
                </w:p>
              </w:tc>
            </w:tr>
          </w:tbl>
          <w:p w:rsidR="00C17563" w:rsidRPr="00E96742" w:rsidRDefault="00C17563" w:rsidP="000F4823"/>
          <w:p w:rsidR="00B11527" w:rsidRPr="00B11527" w:rsidRDefault="00B11527" w:rsidP="00B11527">
            <w:pPr>
              <w:rPr>
                <w:rFonts w:ascii="Tahoma" w:hAnsi="Tahoma" w:cs="Tahoma"/>
                <w:i/>
                <w:sz w:val="24"/>
                <w:szCs w:val="24"/>
              </w:rPr>
            </w:pPr>
            <w:r w:rsidRPr="00B11527">
              <w:rPr>
                <w:rFonts w:ascii="Tahoma" w:hAnsi="Tahoma" w:cs="Tahoma"/>
                <w:i/>
                <w:sz w:val="24"/>
                <w:szCs w:val="24"/>
              </w:rPr>
              <w:t>Minor Requirements</w:t>
            </w:r>
          </w:p>
          <w:p w:rsidR="00B3705C" w:rsidRPr="00B3705C" w:rsidRDefault="00B3705C" w:rsidP="00B3705C">
            <w:pPr>
              <w:rPr>
                <w:rFonts w:ascii="Tahoma" w:hAnsi="Tahoma" w:cs="Tahoma"/>
                <w:sz w:val="24"/>
                <w:szCs w:val="24"/>
              </w:rPr>
            </w:pPr>
            <w:r w:rsidRPr="00B3705C">
              <w:rPr>
                <w:rFonts w:ascii="Tahoma" w:hAnsi="Tahoma" w:cs="Tahoma"/>
                <w:sz w:val="24"/>
                <w:szCs w:val="24"/>
              </w:rPr>
              <w:t>Take the following 20 units with a Grade of "C" or better in each course:</w:t>
            </w:r>
          </w:p>
          <w:p w:rsidR="00B3705C" w:rsidRPr="00B3705C" w:rsidRDefault="00B3705C" w:rsidP="00B3705C">
            <w:pPr>
              <w:pStyle w:val="ListParagraph"/>
              <w:numPr>
                <w:ilvl w:val="0"/>
                <w:numId w:val="34"/>
              </w:numPr>
              <w:rPr>
                <w:rFonts w:ascii="Tahoma" w:hAnsi="Tahoma" w:cs="Tahoma"/>
                <w:sz w:val="24"/>
                <w:szCs w:val="24"/>
              </w:rPr>
            </w:pPr>
            <w:r w:rsidRPr="00B3705C">
              <w:rPr>
                <w:rFonts w:ascii="Tahoma" w:hAnsi="Tahoma" w:cs="Tahoma"/>
                <w:sz w:val="24"/>
                <w:szCs w:val="24"/>
              </w:rPr>
              <w:t>FRE 201, FRE 202, FRE 303W, FRE 304W, FRE 403C, FRE 404C (or credit by exam for any of them)</w:t>
            </w:r>
          </w:p>
          <w:p w:rsidR="00B3705C" w:rsidRPr="00B3705C" w:rsidRDefault="00B3705C" w:rsidP="00B3705C">
            <w:pPr>
              <w:rPr>
                <w:rFonts w:ascii="Tahoma" w:hAnsi="Tahoma" w:cs="Tahoma"/>
                <w:sz w:val="24"/>
                <w:szCs w:val="24"/>
              </w:rPr>
            </w:pPr>
            <w:r w:rsidRPr="00B3705C">
              <w:rPr>
                <w:rFonts w:ascii="Tahoma" w:hAnsi="Tahoma" w:cs="Tahoma"/>
                <w:sz w:val="24"/>
                <w:szCs w:val="24"/>
              </w:rPr>
              <w:t>You must have at least 6 classroom units in French; you may not satisfy all minor requirements with credits from CLEP exams.</w:t>
            </w:r>
          </w:p>
          <w:p w:rsidR="00B3705C" w:rsidRPr="00B3705C" w:rsidRDefault="00B3705C" w:rsidP="00B3705C">
            <w:pPr>
              <w:rPr>
                <w:rFonts w:ascii="Tahoma" w:hAnsi="Tahoma" w:cs="Tahoma"/>
                <w:sz w:val="24"/>
                <w:szCs w:val="24"/>
              </w:rPr>
            </w:pPr>
          </w:p>
          <w:p w:rsidR="00B3705C" w:rsidRPr="00B3705C" w:rsidRDefault="00B3705C" w:rsidP="00B3705C">
            <w:pPr>
              <w:rPr>
                <w:rFonts w:ascii="Tahoma" w:hAnsi="Tahoma" w:cs="Tahoma"/>
                <w:sz w:val="24"/>
                <w:szCs w:val="24"/>
              </w:rPr>
            </w:pPr>
            <w:r w:rsidRPr="00B3705C">
              <w:rPr>
                <w:rFonts w:ascii="Tahoma" w:hAnsi="Tahoma" w:cs="Tahoma"/>
                <w:sz w:val="24"/>
                <w:szCs w:val="24"/>
              </w:rPr>
              <w:t>Additionally, you may only take lower-level FRE courses if you have not already taken advanced FRE coursework. For instance, after you've completed 200-level FRE courses, you can't take FRE courses at the 100 level; after completing a 300-level courses you can't take 100- or 200-level courses.</w:t>
            </w:r>
          </w:p>
          <w:p w:rsidR="00B3705C" w:rsidRPr="00B3705C" w:rsidRDefault="00B3705C" w:rsidP="00B3705C">
            <w:pPr>
              <w:rPr>
                <w:rFonts w:ascii="Tahoma" w:hAnsi="Tahoma" w:cs="Tahoma"/>
                <w:sz w:val="24"/>
                <w:szCs w:val="24"/>
              </w:rPr>
            </w:pPr>
          </w:p>
          <w:p w:rsidR="00B3705C" w:rsidRPr="00B3705C" w:rsidRDefault="00B3705C" w:rsidP="00B3705C">
            <w:pPr>
              <w:rPr>
                <w:rFonts w:ascii="Tahoma" w:hAnsi="Tahoma" w:cs="Tahoma"/>
                <w:sz w:val="24"/>
                <w:szCs w:val="24"/>
              </w:rPr>
            </w:pPr>
            <w:r w:rsidRPr="00B3705C">
              <w:rPr>
                <w:rFonts w:ascii="Tahoma" w:hAnsi="Tahoma" w:cs="Tahoma"/>
                <w:sz w:val="24"/>
                <w:szCs w:val="24"/>
              </w:rPr>
              <w:t>Finally, you must pass the international French proficiency exam given on the Flagstaff campus and an oral exit interview in French.</w:t>
            </w:r>
          </w:p>
          <w:p w:rsidR="00B3705C" w:rsidRPr="00B3705C" w:rsidRDefault="00B3705C" w:rsidP="00B3705C">
            <w:pPr>
              <w:rPr>
                <w:rFonts w:ascii="Tahoma" w:hAnsi="Tahoma" w:cs="Tahoma"/>
                <w:sz w:val="24"/>
                <w:szCs w:val="24"/>
              </w:rPr>
            </w:pPr>
          </w:p>
          <w:p w:rsidR="00344D10" w:rsidRDefault="00B3705C" w:rsidP="00B3705C">
            <w:pPr>
              <w:rPr>
                <w:rFonts w:ascii="Tahoma" w:hAnsi="Tahoma" w:cs="Tahoma"/>
                <w:sz w:val="24"/>
                <w:szCs w:val="24"/>
              </w:rPr>
            </w:pPr>
            <w:r w:rsidRPr="00B3705C">
              <w:rPr>
                <w:rFonts w:ascii="Tahoma" w:hAnsi="Tahoma" w:cs="Tahoma"/>
                <w:sz w:val="24"/>
                <w:szCs w:val="24"/>
              </w:rPr>
              <w:t>Be aware that some courses may have prerequisites that you must also take. For prerequisite information click on the course or see your advisor.</w:t>
            </w:r>
          </w:p>
          <w:p w:rsidR="00B11527" w:rsidRPr="00344D10" w:rsidRDefault="00B11527" w:rsidP="00B11527">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3705C" w:rsidRDefault="00B3705C" w:rsidP="00B3705C">
            <w:pPr>
              <w:pStyle w:val="Heading4"/>
              <w:outlineLvl w:val="3"/>
              <w:rPr>
                <w:rFonts w:ascii="Tahoma" w:hAnsi="Tahoma" w:cs="Tahoma"/>
                <w:sz w:val="24"/>
                <w:szCs w:val="24"/>
              </w:rPr>
            </w:pPr>
            <w:r>
              <w:rPr>
                <w:rFonts w:ascii="Tahoma" w:hAnsi="Tahoma" w:cs="Tahoma"/>
                <w:sz w:val="24"/>
                <w:szCs w:val="24"/>
              </w:rPr>
              <w:t xml:space="preserve">French Minor   </w:t>
            </w:r>
          </w:p>
          <w:p w:rsidR="00B3705C" w:rsidRDefault="00B3705C" w:rsidP="00B3705C"/>
          <w:p w:rsidR="00B3705C" w:rsidRPr="00B3705C" w:rsidRDefault="00B3705C" w:rsidP="00B3705C">
            <w:pPr>
              <w:rPr>
                <w:rFonts w:ascii="Tahoma" w:hAnsi="Tahoma" w:cs="Tahoma"/>
                <w:sz w:val="24"/>
                <w:szCs w:val="24"/>
              </w:rPr>
            </w:pPr>
            <w:r w:rsidRPr="00B3705C">
              <w:rPr>
                <w:rFonts w:ascii="Tahoma" w:hAnsi="Tahoma" w:cs="Tahoma"/>
                <w:sz w:val="24"/>
                <w:szCs w:val="24"/>
              </w:rPr>
              <w:t>In addition to University Requirements:</w:t>
            </w:r>
          </w:p>
          <w:p w:rsidR="00B3705C" w:rsidRDefault="00B3705C" w:rsidP="00B3705C">
            <w:pPr>
              <w:rPr>
                <w:rFonts w:ascii="Tahoma" w:hAnsi="Tahoma" w:cs="Tahoma"/>
                <w:sz w:val="24"/>
                <w:szCs w:val="24"/>
              </w:rPr>
            </w:pPr>
          </w:p>
          <w:p w:rsidR="00B3705C" w:rsidRPr="00B3705C" w:rsidRDefault="00B3705C" w:rsidP="00B3705C">
            <w:pPr>
              <w:pStyle w:val="ListParagraph"/>
              <w:numPr>
                <w:ilvl w:val="0"/>
                <w:numId w:val="35"/>
              </w:numPr>
              <w:rPr>
                <w:rFonts w:ascii="Tahoma" w:hAnsi="Tahoma" w:cs="Tahoma"/>
                <w:sz w:val="24"/>
                <w:szCs w:val="24"/>
              </w:rPr>
            </w:pPr>
            <w:r w:rsidRPr="00B3705C">
              <w:rPr>
                <w:rFonts w:ascii="Tahoma" w:hAnsi="Tahoma" w:cs="Tahoma"/>
                <w:sz w:val="24"/>
                <w:szCs w:val="24"/>
              </w:rPr>
              <w:t>Complete individual plan requirements.</w:t>
            </w:r>
          </w:p>
          <w:p w:rsidR="00B3705C" w:rsidRPr="00B3705C" w:rsidRDefault="00B3705C" w:rsidP="00B3705C">
            <w:pPr>
              <w:rPr>
                <w:rFonts w:ascii="Tahoma" w:hAnsi="Tahoma" w:cs="Tahoma"/>
                <w:sz w:val="24"/>
                <w:szCs w:val="24"/>
              </w:rPr>
            </w:pPr>
          </w:p>
          <w:p w:rsidR="00B3705C" w:rsidRDefault="00B3705C" w:rsidP="00B3705C">
            <w:pPr>
              <w:rPr>
                <w:rFonts w:ascii="Tahoma" w:hAnsi="Tahoma" w:cs="Tahoma"/>
                <w:sz w:val="24"/>
                <w:szCs w:val="24"/>
              </w:rPr>
            </w:pPr>
            <w:r w:rsidRPr="00B3705C">
              <w:rPr>
                <w:rFonts w:ascii="Tahoma" w:hAnsi="Tahoma" w:cs="Tahoma"/>
                <w:sz w:val="24"/>
                <w:szCs w:val="24"/>
              </w:rPr>
              <w:t>Please note that you may be able to use some courses to meet more than one requirement. Contact your advisor for details.</w:t>
            </w:r>
          </w:p>
          <w:p w:rsidR="00B3705C" w:rsidRDefault="00B3705C" w:rsidP="00B3705C">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250"/>
            </w:tblGrid>
            <w:tr w:rsidR="00B3705C" w:rsidRPr="00B3705C" w:rsidTr="00CC2AE6">
              <w:trPr>
                <w:tblHeader/>
                <w:tblCellSpacing w:w="15" w:type="dxa"/>
              </w:trPr>
              <w:tc>
                <w:tcPr>
                  <w:tcW w:w="2740"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Minimum Units for Completion</w:t>
                  </w:r>
                </w:p>
              </w:tc>
              <w:tc>
                <w:tcPr>
                  <w:tcW w:w="2205"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20</w:t>
                  </w:r>
                </w:p>
              </w:tc>
            </w:tr>
            <w:tr w:rsidR="00B3705C" w:rsidRPr="00B3705C" w:rsidTr="00CC2AE6">
              <w:trPr>
                <w:tblCellSpacing w:w="15" w:type="dxa"/>
              </w:trPr>
              <w:tc>
                <w:tcPr>
                  <w:tcW w:w="2740"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GPA</w:t>
                  </w:r>
                </w:p>
              </w:tc>
              <w:tc>
                <w:tcPr>
                  <w:tcW w:w="2205"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C</w:t>
                  </w:r>
                </w:p>
              </w:tc>
            </w:tr>
            <w:tr w:rsidR="00B3705C" w:rsidRPr="00B3705C" w:rsidTr="00CC2AE6">
              <w:trPr>
                <w:tblCellSpacing w:w="15" w:type="dxa"/>
              </w:trPr>
              <w:tc>
                <w:tcPr>
                  <w:tcW w:w="2740"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Foreign Language</w:t>
                  </w:r>
                </w:p>
              </w:tc>
              <w:tc>
                <w:tcPr>
                  <w:tcW w:w="2205" w:type="dxa"/>
                  <w:vAlign w:val="center"/>
                  <w:hideMark/>
                </w:tcPr>
                <w:p w:rsidR="00B3705C" w:rsidRPr="00B3705C" w:rsidRDefault="00B3705C" w:rsidP="00CC2AE6">
                  <w:pPr>
                    <w:rPr>
                      <w:rFonts w:ascii="Tahoma" w:hAnsi="Tahoma" w:cs="Tahoma"/>
                      <w:sz w:val="16"/>
                      <w:szCs w:val="16"/>
                    </w:rPr>
                  </w:pPr>
                  <w:r w:rsidRPr="00B3705C">
                    <w:rPr>
                      <w:rFonts w:ascii="Tahoma" w:hAnsi="Tahoma" w:cs="Tahoma"/>
                      <w:sz w:val="16"/>
                      <w:szCs w:val="16"/>
                    </w:rPr>
                    <w:t>Required</w:t>
                  </w:r>
                </w:p>
              </w:tc>
            </w:tr>
          </w:tbl>
          <w:p w:rsidR="00B3705C" w:rsidRPr="00E96742" w:rsidRDefault="00B3705C" w:rsidP="00B3705C"/>
          <w:p w:rsidR="00B3705C" w:rsidRPr="00B11527" w:rsidRDefault="00B3705C" w:rsidP="00B3705C">
            <w:pPr>
              <w:rPr>
                <w:rFonts w:ascii="Tahoma" w:hAnsi="Tahoma" w:cs="Tahoma"/>
                <w:i/>
                <w:sz w:val="24"/>
                <w:szCs w:val="24"/>
              </w:rPr>
            </w:pPr>
            <w:r w:rsidRPr="00B11527">
              <w:rPr>
                <w:rFonts w:ascii="Tahoma" w:hAnsi="Tahoma" w:cs="Tahoma"/>
                <w:i/>
                <w:sz w:val="24"/>
                <w:szCs w:val="24"/>
              </w:rPr>
              <w:t>Minor Requirements</w:t>
            </w:r>
          </w:p>
          <w:p w:rsidR="00B3705C" w:rsidRPr="00B3705C" w:rsidRDefault="00B3705C" w:rsidP="00B3705C">
            <w:pPr>
              <w:rPr>
                <w:rFonts w:ascii="Tahoma" w:hAnsi="Tahoma" w:cs="Tahoma"/>
                <w:sz w:val="24"/>
                <w:szCs w:val="24"/>
              </w:rPr>
            </w:pPr>
            <w:r w:rsidRPr="00B3705C">
              <w:rPr>
                <w:rFonts w:ascii="Tahoma" w:hAnsi="Tahoma" w:cs="Tahoma"/>
                <w:sz w:val="24"/>
                <w:szCs w:val="24"/>
              </w:rPr>
              <w:t>Take the following 20 units with a Grade of "C" or better in each course:</w:t>
            </w:r>
          </w:p>
          <w:p w:rsidR="00B3705C" w:rsidRPr="008318E7" w:rsidRDefault="00B3705C" w:rsidP="00B3705C">
            <w:pPr>
              <w:pStyle w:val="ListParagraph"/>
              <w:numPr>
                <w:ilvl w:val="0"/>
                <w:numId w:val="34"/>
              </w:numPr>
              <w:rPr>
                <w:rFonts w:ascii="Tahoma" w:hAnsi="Tahoma" w:cs="Tahoma"/>
                <w:b/>
                <w:strike/>
                <w:color w:val="FF0000"/>
                <w:sz w:val="24"/>
                <w:szCs w:val="24"/>
              </w:rPr>
            </w:pPr>
            <w:r w:rsidRPr="008318E7">
              <w:rPr>
                <w:rFonts w:ascii="Tahoma" w:hAnsi="Tahoma" w:cs="Tahoma"/>
                <w:b/>
                <w:strike/>
                <w:color w:val="FF0000"/>
                <w:sz w:val="24"/>
                <w:szCs w:val="24"/>
              </w:rPr>
              <w:t>FRE 201, FRE 202, FRE 303W, FRE 304W, FRE 403C, FRE 404C (or credit by exam for any of them)</w:t>
            </w:r>
          </w:p>
          <w:p w:rsidR="008318E7" w:rsidRPr="008318E7" w:rsidRDefault="008318E7" w:rsidP="008318E7">
            <w:pPr>
              <w:pStyle w:val="ListParagraph"/>
              <w:numPr>
                <w:ilvl w:val="0"/>
                <w:numId w:val="34"/>
              </w:numPr>
              <w:rPr>
                <w:rFonts w:ascii="Tahoma" w:hAnsi="Tahoma" w:cs="Tahoma"/>
                <w:sz w:val="24"/>
                <w:szCs w:val="24"/>
              </w:rPr>
            </w:pPr>
            <w:r w:rsidRPr="008318E7">
              <w:rPr>
                <w:rFonts w:ascii="Tahoma" w:hAnsi="Tahoma" w:cs="Tahoma"/>
                <w:b/>
                <w:bCs/>
                <w:sz w:val="24"/>
                <w:szCs w:val="24"/>
              </w:rPr>
              <w:t>At least 12 units of FRE courses at the 300 level or above. (12 units)</w:t>
            </w:r>
          </w:p>
          <w:p w:rsidR="008318E7" w:rsidRPr="008318E7" w:rsidRDefault="008318E7" w:rsidP="008318E7">
            <w:pPr>
              <w:pStyle w:val="ListParagraph"/>
              <w:numPr>
                <w:ilvl w:val="0"/>
                <w:numId w:val="34"/>
              </w:numPr>
              <w:rPr>
                <w:rFonts w:ascii="Tahoma" w:hAnsi="Tahoma" w:cs="Tahoma"/>
                <w:b/>
                <w:bCs/>
                <w:sz w:val="24"/>
                <w:szCs w:val="24"/>
              </w:rPr>
            </w:pPr>
            <w:r w:rsidRPr="008318E7">
              <w:rPr>
                <w:rFonts w:ascii="Tahoma" w:hAnsi="Tahoma" w:cs="Tahoma"/>
                <w:b/>
                <w:bCs/>
                <w:sz w:val="24"/>
                <w:szCs w:val="24"/>
              </w:rPr>
              <w:t>FRE courses at the 200 level or above. (8 units)</w:t>
            </w:r>
          </w:p>
          <w:p w:rsidR="008318E7" w:rsidRDefault="008318E7" w:rsidP="008318E7">
            <w:pPr>
              <w:rPr>
                <w:rFonts w:ascii="Calibri" w:hAnsi="Calibri"/>
                <w:b/>
                <w:bCs/>
                <w:sz w:val="22"/>
                <w:szCs w:val="22"/>
              </w:rPr>
            </w:pPr>
          </w:p>
          <w:p w:rsidR="00B3705C" w:rsidRPr="00B3705C" w:rsidRDefault="00B3705C" w:rsidP="008318E7">
            <w:pPr>
              <w:rPr>
                <w:rFonts w:ascii="Tahoma" w:hAnsi="Tahoma" w:cs="Tahoma"/>
                <w:sz w:val="24"/>
                <w:szCs w:val="24"/>
              </w:rPr>
            </w:pPr>
            <w:r w:rsidRPr="00B3705C">
              <w:rPr>
                <w:rFonts w:ascii="Tahoma" w:hAnsi="Tahoma" w:cs="Tahoma"/>
                <w:sz w:val="24"/>
                <w:szCs w:val="24"/>
              </w:rPr>
              <w:t>You must have at least 6 classroom units in French; you may not satisfy all minor requirements with credits from CLEP exams.</w:t>
            </w:r>
          </w:p>
          <w:p w:rsidR="00B3705C" w:rsidRPr="00B3705C" w:rsidRDefault="00B3705C" w:rsidP="00B3705C">
            <w:pPr>
              <w:rPr>
                <w:rFonts w:ascii="Tahoma" w:hAnsi="Tahoma" w:cs="Tahoma"/>
                <w:sz w:val="24"/>
                <w:szCs w:val="24"/>
              </w:rPr>
            </w:pPr>
          </w:p>
          <w:p w:rsidR="00B3705C" w:rsidRPr="00B3705C" w:rsidRDefault="00B3705C" w:rsidP="00B3705C">
            <w:pPr>
              <w:rPr>
                <w:rFonts w:ascii="Tahoma" w:hAnsi="Tahoma" w:cs="Tahoma"/>
                <w:sz w:val="24"/>
                <w:szCs w:val="24"/>
              </w:rPr>
            </w:pPr>
            <w:r w:rsidRPr="00B3705C">
              <w:rPr>
                <w:rFonts w:ascii="Tahoma" w:hAnsi="Tahoma" w:cs="Tahoma"/>
                <w:sz w:val="24"/>
                <w:szCs w:val="24"/>
              </w:rPr>
              <w:t>Additionally, you may only take lower-level FRE courses if you have not already taken advanced FRE coursework. For instance, after you've completed 200-level FRE courses, you can't take FRE courses at the 100 level; after completing a 300-level courses you can't take 100- or 200-level courses.</w:t>
            </w:r>
          </w:p>
          <w:p w:rsidR="00B3705C" w:rsidRPr="00B3705C" w:rsidRDefault="00B3705C" w:rsidP="00B3705C">
            <w:pPr>
              <w:rPr>
                <w:rFonts w:ascii="Tahoma" w:hAnsi="Tahoma" w:cs="Tahoma"/>
                <w:sz w:val="24"/>
                <w:szCs w:val="24"/>
              </w:rPr>
            </w:pPr>
          </w:p>
          <w:p w:rsidR="00B3705C" w:rsidRPr="008318E7" w:rsidRDefault="00B3705C" w:rsidP="00B3705C">
            <w:pPr>
              <w:rPr>
                <w:rFonts w:ascii="Tahoma" w:hAnsi="Tahoma" w:cs="Tahoma"/>
                <w:b/>
                <w:strike/>
                <w:color w:val="FF0000"/>
                <w:sz w:val="24"/>
                <w:szCs w:val="24"/>
              </w:rPr>
            </w:pPr>
            <w:r w:rsidRPr="008318E7">
              <w:rPr>
                <w:rFonts w:ascii="Tahoma" w:hAnsi="Tahoma" w:cs="Tahoma"/>
                <w:b/>
                <w:strike/>
                <w:color w:val="FF0000"/>
                <w:sz w:val="24"/>
                <w:szCs w:val="24"/>
              </w:rPr>
              <w:t>Finally, you must pass the international French proficiency exam given on the Flagstaff campus and an oral exit interview in French.</w:t>
            </w:r>
          </w:p>
          <w:p w:rsidR="00B3705C" w:rsidRPr="00B3705C" w:rsidRDefault="00B3705C" w:rsidP="00B3705C">
            <w:pPr>
              <w:rPr>
                <w:rFonts w:ascii="Tahoma" w:hAnsi="Tahoma" w:cs="Tahoma"/>
                <w:sz w:val="24"/>
                <w:szCs w:val="24"/>
              </w:rPr>
            </w:pPr>
          </w:p>
          <w:p w:rsidR="00B3705C" w:rsidRDefault="00B3705C" w:rsidP="00B3705C">
            <w:pPr>
              <w:rPr>
                <w:rFonts w:ascii="Tahoma" w:hAnsi="Tahoma" w:cs="Tahoma"/>
                <w:sz w:val="24"/>
                <w:szCs w:val="24"/>
              </w:rPr>
            </w:pPr>
            <w:r w:rsidRPr="00B3705C">
              <w:rPr>
                <w:rFonts w:ascii="Tahoma" w:hAnsi="Tahoma" w:cs="Tahoma"/>
                <w:sz w:val="24"/>
                <w:szCs w:val="24"/>
              </w:rPr>
              <w:t xml:space="preserve">Be aware that some courses may have </w:t>
            </w:r>
            <w:r w:rsidRPr="00B3705C">
              <w:rPr>
                <w:rFonts w:ascii="Tahoma" w:hAnsi="Tahoma" w:cs="Tahoma"/>
                <w:sz w:val="24"/>
                <w:szCs w:val="24"/>
              </w:rPr>
              <w:lastRenderedPageBreak/>
              <w:t>prerequisites that you must also take. For prerequisite information click on the course or see your advisor.</w:t>
            </w:r>
          </w:p>
          <w:p w:rsidR="00B11527" w:rsidRDefault="00B11527" w:rsidP="00B11527">
            <w:pPr>
              <w:rPr>
                <w:rFonts w:ascii="Tahoma" w:hAnsi="Tahoma" w:cs="Tahoma"/>
                <w:sz w:val="24"/>
                <w:szCs w:val="24"/>
              </w:rPr>
            </w:pPr>
          </w:p>
          <w:p w:rsidR="0065207F" w:rsidRPr="0065207F" w:rsidRDefault="0065207F" w:rsidP="00C17563">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841E0" w:rsidRPr="006841E0" w:rsidRDefault="006841E0" w:rsidP="006841E0">
      <w:pPr>
        <w:shd w:val="clear" w:color="auto" w:fill="D9D9D9" w:themeFill="background1" w:themeFillShade="D9"/>
        <w:rPr>
          <w:rFonts w:ascii="Arial" w:hAnsi="Arial" w:cs="Arial"/>
          <w:b/>
          <w:color w:val="FF0000"/>
          <w:sz w:val="24"/>
          <w:szCs w:val="24"/>
        </w:rPr>
      </w:pPr>
      <w:r w:rsidRPr="006841E0">
        <w:rPr>
          <w:rFonts w:ascii="Arial" w:eastAsiaTheme="minorHAnsi" w:hAnsi="Arial" w:cs="Arial"/>
          <w:b/>
          <w:sz w:val="24"/>
          <w:szCs w:val="24"/>
        </w:rPr>
        <w:t>We are making these changes to simplify the offerings that students can take in the French minor. It brings its expectations in line with the other minor in the department that has many students, namely Spanish. Also by loosening the requirements students are able to more easily apply study abroad credit, which the vast majority of students do. This allows us to avoid having to do substitutions at graduation time.</w:t>
      </w:r>
    </w:p>
    <w:p w:rsidR="00B3705C" w:rsidRPr="00B3705C" w:rsidRDefault="00B3705C" w:rsidP="00B3705C">
      <w:pPr>
        <w:shd w:val="clear" w:color="auto" w:fill="D9D9D9" w:themeFill="background1" w:themeFillShade="D9"/>
        <w:rPr>
          <w:rFonts w:ascii="Arial" w:hAnsi="Arial" w:cs="Arial"/>
          <w:b/>
          <w:color w:val="FF0000"/>
          <w:sz w:val="24"/>
          <w:szCs w:val="24"/>
        </w:rPr>
      </w:pPr>
    </w:p>
    <w:p w:rsidR="00B3705C" w:rsidRDefault="00B3705C"/>
    <w:p w:rsidR="00B3705C" w:rsidRDefault="00B3705C"/>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A67CD"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A67CD"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A67CD"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B25823">
            <w:pPr>
              <w:rPr>
                <w:rFonts w:ascii="Arial" w:hAnsi="Arial" w:cs="Arial"/>
                <w:b/>
                <w:sz w:val="24"/>
                <w:szCs w:val="24"/>
              </w:rPr>
            </w:pPr>
            <w:r w:rsidRPr="00344D10">
              <w:rPr>
                <w:rFonts w:ascii="Arial" w:hAnsi="Arial" w:cs="Arial"/>
                <w:b/>
                <w:sz w:val="24"/>
                <w:szCs w:val="24"/>
              </w:rPr>
              <w:t>201</w:t>
            </w:r>
            <w:r w:rsidR="00B25823">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A67CD">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A67CD">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A67CD">
        <w:rPr>
          <w:rFonts w:ascii="Arial" w:hAnsi="Arial" w:cs="Arial"/>
          <w:sz w:val="24"/>
          <w:szCs w:val="24"/>
        </w:rPr>
        <w:fldChar w:fldCharType="begin">
          <w:ffData>
            <w:name w:val=""/>
            <w:enabled/>
            <w:calcOnExit w:val="0"/>
            <w:checkBox>
              <w:sizeAuto/>
              <w:default w:val="0"/>
            </w:checkBox>
          </w:ffData>
        </w:fldChar>
      </w:r>
      <w:r w:rsidR="00C1756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Pr>
          <w:rFonts w:ascii="Arial" w:hAnsi="Arial" w:cs="Arial"/>
          <w:sz w:val="24"/>
          <w:szCs w:val="24"/>
        </w:rPr>
        <w:fldChar w:fldCharType="end"/>
      </w:r>
      <w:r w:rsidRPr="002B1A53">
        <w:rPr>
          <w:rFonts w:ascii="Arial" w:hAnsi="Arial" w:cs="Arial"/>
          <w:sz w:val="24"/>
          <w:szCs w:val="24"/>
        </w:rPr>
        <w:t xml:space="preserve">      No </w:t>
      </w:r>
      <w:r w:rsidR="00BA67C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B3705C">
        <w:rPr>
          <w:rFonts w:ascii="Arial" w:hAnsi="Arial" w:cs="Arial"/>
          <w:sz w:val="24"/>
          <w:szCs w:val="24"/>
        </w:rPr>
        <w:t xml:space="preserve"> </w:t>
      </w:r>
      <w:r>
        <w:rPr>
          <w:rFonts w:ascii="Arial" w:hAnsi="Arial" w:cs="Arial"/>
          <w:sz w:val="24"/>
          <w:szCs w:val="24"/>
        </w:rPr>
        <w:t xml:space="preserve">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BA67CD">
        <w:rPr>
          <w:rFonts w:ascii="Arial" w:hAnsi="Arial" w:cs="Arial"/>
          <w:sz w:val="24"/>
          <w:szCs w:val="24"/>
        </w:rPr>
        <w:fldChar w:fldCharType="begin">
          <w:ffData>
            <w:name w:val=""/>
            <w:enabled/>
            <w:calcOnExit w:val="0"/>
            <w:checkBox>
              <w:sizeAuto/>
              <w:default w:val="1"/>
            </w:checkBox>
          </w:ffData>
        </w:fldChar>
      </w:r>
      <w:r w:rsidR="00C1756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Pr>
          <w:rFonts w:ascii="Arial" w:hAnsi="Arial" w:cs="Arial"/>
          <w:sz w:val="24"/>
          <w:szCs w:val="24"/>
        </w:rPr>
        <w:fldChar w:fldCharType="end"/>
      </w:r>
      <w:r w:rsidRPr="002B1A53">
        <w:rPr>
          <w:rFonts w:ascii="Arial" w:hAnsi="Arial" w:cs="Arial"/>
          <w:sz w:val="24"/>
          <w:szCs w:val="24"/>
        </w:rPr>
        <w:t xml:space="preserve">      No </w:t>
      </w:r>
      <w:r w:rsidR="00BA67C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A67C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r w:rsidRPr="002B1A53">
        <w:rPr>
          <w:rFonts w:ascii="Arial" w:hAnsi="Arial" w:cs="Arial"/>
          <w:sz w:val="24"/>
          <w:szCs w:val="24"/>
        </w:rPr>
        <w:t xml:space="preserve">      No </w:t>
      </w:r>
      <w:r w:rsidR="00BA67C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A67C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r w:rsidRPr="002B1A53">
        <w:rPr>
          <w:rFonts w:ascii="Arial" w:hAnsi="Arial" w:cs="Arial"/>
          <w:sz w:val="24"/>
          <w:szCs w:val="24"/>
        </w:rPr>
        <w:t xml:space="preserve">      No </w:t>
      </w:r>
      <w:r w:rsidR="00BA67C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lastRenderedPageBreak/>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6841E0">
            <w:pPr>
              <w:rPr>
                <w:rFonts w:ascii="Arial" w:hAnsi="Arial" w:cs="Arial"/>
                <w:b/>
                <w:sz w:val="24"/>
                <w:szCs w:val="24"/>
              </w:rPr>
            </w:pPr>
            <w:r>
              <w:rPr>
                <w:rFonts w:ascii="Arial" w:hAnsi="Arial" w:cs="Arial"/>
                <w:b/>
                <w:sz w:val="24"/>
                <w:szCs w:val="24"/>
              </w:rPr>
              <w:t>1</w:t>
            </w:r>
            <w:r w:rsidR="00B3705C">
              <w:rPr>
                <w:rFonts w:ascii="Arial" w:hAnsi="Arial" w:cs="Arial"/>
                <w:b/>
                <w:sz w:val="24"/>
                <w:szCs w:val="24"/>
              </w:rPr>
              <w:t>1/</w:t>
            </w:r>
            <w:r w:rsidR="006841E0">
              <w:rPr>
                <w:rFonts w:ascii="Arial" w:hAnsi="Arial" w:cs="Arial"/>
                <w:b/>
                <w:sz w:val="24"/>
                <w:szCs w:val="24"/>
              </w:rPr>
              <w:t>20</w:t>
            </w:r>
            <w:r w:rsidR="00B3705C">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A67C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sidRPr="00313AE8">
        <w:rPr>
          <w:rFonts w:ascii="Arial" w:hAnsi="Arial" w:cs="Arial"/>
          <w:sz w:val="24"/>
          <w:szCs w:val="24"/>
        </w:rPr>
        <w:t xml:space="preserve">     No  </w:t>
      </w:r>
      <w:r w:rsidR="00BA67C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A67C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A67C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lastRenderedPageBreak/>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A67C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sidRPr="00313AE8">
        <w:rPr>
          <w:rFonts w:ascii="Arial" w:hAnsi="Arial" w:cs="Arial"/>
          <w:sz w:val="24"/>
          <w:szCs w:val="24"/>
        </w:rPr>
        <w:t xml:space="preserve">     No  </w:t>
      </w:r>
      <w:r w:rsidR="00BA67C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A67C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A67C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A67CD">
        <w:rPr>
          <w:rFonts w:ascii="Arial" w:hAnsi="Arial" w:cs="Arial"/>
          <w:sz w:val="24"/>
          <w:szCs w:val="24"/>
        </w:rPr>
      </w:r>
      <w:r w:rsidR="00BA67CD">
        <w:rPr>
          <w:rFonts w:ascii="Arial" w:hAnsi="Arial" w:cs="Arial"/>
          <w:sz w:val="24"/>
          <w:szCs w:val="24"/>
        </w:rPr>
        <w:fldChar w:fldCharType="separate"/>
      </w:r>
      <w:r w:rsidR="00BA67CD" w:rsidRPr="00313AE8">
        <w:rPr>
          <w:rFonts w:ascii="Arial" w:hAnsi="Arial" w:cs="Arial"/>
          <w:sz w:val="24"/>
          <w:szCs w:val="24"/>
        </w:rPr>
        <w:fldChar w:fldCharType="end"/>
      </w:r>
    </w:p>
    <w:sectPr w:rsidR="00350A98" w:rsidRPr="00350A98" w:rsidSect="001A02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F1" w:rsidRDefault="006224F1" w:rsidP="00233561">
      <w:r>
        <w:separator/>
      </w:r>
    </w:p>
  </w:endnote>
  <w:endnote w:type="continuationSeparator" w:id="0">
    <w:p w:rsidR="006224F1" w:rsidRDefault="006224F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BA67CD">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6224F1">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F1" w:rsidRDefault="006224F1" w:rsidP="00233561">
      <w:r>
        <w:separator/>
      </w:r>
    </w:p>
  </w:footnote>
  <w:footnote w:type="continuationSeparator" w:id="0">
    <w:p w:rsidR="006224F1" w:rsidRDefault="006224F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61"/>
    <w:multiLevelType w:val="hybridMultilevel"/>
    <w:tmpl w:val="97B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D174B"/>
    <w:multiLevelType w:val="hybridMultilevel"/>
    <w:tmpl w:val="339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8F4788"/>
    <w:multiLevelType w:val="hybridMultilevel"/>
    <w:tmpl w:val="F038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73EA7"/>
    <w:multiLevelType w:val="hybridMultilevel"/>
    <w:tmpl w:val="858A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9B4515"/>
    <w:multiLevelType w:val="hybridMultilevel"/>
    <w:tmpl w:val="08E6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733BD0"/>
    <w:multiLevelType w:val="hybridMultilevel"/>
    <w:tmpl w:val="D90A1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8C5D01"/>
    <w:multiLevelType w:val="hybridMultilevel"/>
    <w:tmpl w:val="0118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2F0695"/>
    <w:multiLevelType w:val="hybridMultilevel"/>
    <w:tmpl w:val="710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C00CBB"/>
    <w:multiLevelType w:val="hybridMultilevel"/>
    <w:tmpl w:val="54FA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2"/>
  </w:num>
  <w:num w:numId="4">
    <w:abstractNumId w:val="26"/>
  </w:num>
  <w:num w:numId="5">
    <w:abstractNumId w:val="22"/>
  </w:num>
  <w:num w:numId="6">
    <w:abstractNumId w:val="13"/>
  </w:num>
  <w:num w:numId="7">
    <w:abstractNumId w:val="33"/>
  </w:num>
  <w:num w:numId="8">
    <w:abstractNumId w:val="27"/>
  </w:num>
  <w:num w:numId="9">
    <w:abstractNumId w:val="16"/>
  </w:num>
  <w:num w:numId="10">
    <w:abstractNumId w:val="19"/>
  </w:num>
  <w:num w:numId="11">
    <w:abstractNumId w:val="14"/>
  </w:num>
  <w:num w:numId="12">
    <w:abstractNumId w:val="11"/>
  </w:num>
  <w:num w:numId="13">
    <w:abstractNumId w:val="24"/>
  </w:num>
  <w:num w:numId="14">
    <w:abstractNumId w:val="7"/>
  </w:num>
  <w:num w:numId="15">
    <w:abstractNumId w:val="25"/>
  </w:num>
  <w:num w:numId="16">
    <w:abstractNumId w:val="5"/>
  </w:num>
  <w:num w:numId="17">
    <w:abstractNumId w:val="3"/>
  </w:num>
  <w:num w:numId="18">
    <w:abstractNumId w:val="4"/>
  </w:num>
  <w:num w:numId="19">
    <w:abstractNumId w:val="31"/>
  </w:num>
  <w:num w:numId="20">
    <w:abstractNumId w:val="21"/>
  </w:num>
  <w:num w:numId="21">
    <w:abstractNumId w:val="20"/>
  </w:num>
  <w:num w:numId="22">
    <w:abstractNumId w:val="12"/>
  </w:num>
  <w:num w:numId="23">
    <w:abstractNumId w:val="17"/>
  </w:num>
  <w:num w:numId="24">
    <w:abstractNumId w:val="28"/>
  </w:num>
  <w:num w:numId="25">
    <w:abstractNumId w:val="18"/>
  </w:num>
  <w:num w:numId="26">
    <w:abstractNumId w:val="0"/>
  </w:num>
  <w:num w:numId="27">
    <w:abstractNumId w:val="9"/>
  </w:num>
  <w:num w:numId="28">
    <w:abstractNumId w:val="10"/>
  </w:num>
  <w:num w:numId="29">
    <w:abstractNumId w:val="8"/>
  </w:num>
  <w:num w:numId="30">
    <w:abstractNumId w:val="30"/>
  </w:num>
  <w:num w:numId="31">
    <w:abstractNumId w:val="32"/>
  </w:num>
  <w:num w:numId="32">
    <w:abstractNumId w:val="1"/>
  </w:num>
  <w:num w:numId="33">
    <w:abstractNumId w:val="15"/>
  </w:num>
  <w:num w:numId="34">
    <w:abstractNumId w:val="29"/>
  </w:num>
  <w:num w:numId="3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5B61"/>
    <w:rsid w:val="00041842"/>
    <w:rsid w:val="000514D4"/>
    <w:rsid w:val="00051D13"/>
    <w:rsid w:val="00083DF5"/>
    <w:rsid w:val="000A3ADE"/>
    <w:rsid w:val="000B2CE9"/>
    <w:rsid w:val="000D0D4F"/>
    <w:rsid w:val="000F4823"/>
    <w:rsid w:val="00100C2D"/>
    <w:rsid w:val="00103A43"/>
    <w:rsid w:val="00111B8E"/>
    <w:rsid w:val="001175FE"/>
    <w:rsid w:val="00120D34"/>
    <w:rsid w:val="0012135E"/>
    <w:rsid w:val="00146941"/>
    <w:rsid w:val="00167158"/>
    <w:rsid w:val="00190E00"/>
    <w:rsid w:val="001A02A7"/>
    <w:rsid w:val="001A0823"/>
    <w:rsid w:val="001C0762"/>
    <w:rsid w:val="001F3265"/>
    <w:rsid w:val="001F3DAC"/>
    <w:rsid w:val="0020257F"/>
    <w:rsid w:val="00203C77"/>
    <w:rsid w:val="00231555"/>
    <w:rsid w:val="00233561"/>
    <w:rsid w:val="00241E16"/>
    <w:rsid w:val="00243B99"/>
    <w:rsid w:val="00255F08"/>
    <w:rsid w:val="00273036"/>
    <w:rsid w:val="00287DE0"/>
    <w:rsid w:val="0029653C"/>
    <w:rsid w:val="002A39CA"/>
    <w:rsid w:val="002A6916"/>
    <w:rsid w:val="002A7477"/>
    <w:rsid w:val="002B1A53"/>
    <w:rsid w:val="002B2123"/>
    <w:rsid w:val="002D768B"/>
    <w:rsid w:val="003151BF"/>
    <w:rsid w:val="00327CB9"/>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652CE"/>
    <w:rsid w:val="004A4315"/>
    <w:rsid w:val="004E7C22"/>
    <w:rsid w:val="004F3222"/>
    <w:rsid w:val="004F7394"/>
    <w:rsid w:val="0050399D"/>
    <w:rsid w:val="00504F93"/>
    <w:rsid w:val="005162A2"/>
    <w:rsid w:val="005205B4"/>
    <w:rsid w:val="00523703"/>
    <w:rsid w:val="00527409"/>
    <w:rsid w:val="00552434"/>
    <w:rsid w:val="005735CD"/>
    <w:rsid w:val="00576921"/>
    <w:rsid w:val="0058038B"/>
    <w:rsid w:val="005B63D2"/>
    <w:rsid w:val="005C46C1"/>
    <w:rsid w:val="005C7D6A"/>
    <w:rsid w:val="005E15CA"/>
    <w:rsid w:val="005E4D2D"/>
    <w:rsid w:val="005E5238"/>
    <w:rsid w:val="005F4220"/>
    <w:rsid w:val="006224F1"/>
    <w:rsid w:val="0062365E"/>
    <w:rsid w:val="0065207F"/>
    <w:rsid w:val="006841E0"/>
    <w:rsid w:val="006A3149"/>
    <w:rsid w:val="006C069B"/>
    <w:rsid w:val="006F05DF"/>
    <w:rsid w:val="006F14EB"/>
    <w:rsid w:val="006F5FFA"/>
    <w:rsid w:val="00716ABB"/>
    <w:rsid w:val="00753AFA"/>
    <w:rsid w:val="00761DF6"/>
    <w:rsid w:val="0077023D"/>
    <w:rsid w:val="007A1971"/>
    <w:rsid w:val="007A45A6"/>
    <w:rsid w:val="007B143C"/>
    <w:rsid w:val="007D1975"/>
    <w:rsid w:val="007D1B84"/>
    <w:rsid w:val="00805FB8"/>
    <w:rsid w:val="00811C35"/>
    <w:rsid w:val="00813CBA"/>
    <w:rsid w:val="0081690C"/>
    <w:rsid w:val="008318E7"/>
    <w:rsid w:val="008347F0"/>
    <w:rsid w:val="008627F4"/>
    <w:rsid w:val="00893A71"/>
    <w:rsid w:val="008B1926"/>
    <w:rsid w:val="008F40EF"/>
    <w:rsid w:val="008F62B2"/>
    <w:rsid w:val="00910769"/>
    <w:rsid w:val="009213C1"/>
    <w:rsid w:val="009428E5"/>
    <w:rsid w:val="009565C5"/>
    <w:rsid w:val="00967B62"/>
    <w:rsid w:val="00971EBF"/>
    <w:rsid w:val="00971F61"/>
    <w:rsid w:val="00984F07"/>
    <w:rsid w:val="009857E6"/>
    <w:rsid w:val="0098781F"/>
    <w:rsid w:val="009B3949"/>
    <w:rsid w:val="009C1083"/>
    <w:rsid w:val="009C75F7"/>
    <w:rsid w:val="009D2378"/>
    <w:rsid w:val="009D4DA8"/>
    <w:rsid w:val="009F73DB"/>
    <w:rsid w:val="00A1039F"/>
    <w:rsid w:val="00A27C28"/>
    <w:rsid w:val="00A40DC3"/>
    <w:rsid w:val="00A9284E"/>
    <w:rsid w:val="00AA0C94"/>
    <w:rsid w:val="00AA5472"/>
    <w:rsid w:val="00AB49C0"/>
    <w:rsid w:val="00AB7DBA"/>
    <w:rsid w:val="00AD50F2"/>
    <w:rsid w:val="00AD6D73"/>
    <w:rsid w:val="00B05C45"/>
    <w:rsid w:val="00B079BE"/>
    <w:rsid w:val="00B11527"/>
    <w:rsid w:val="00B14B0F"/>
    <w:rsid w:val="00B23575"/>
    <w:rsid w:val="00B25823"/>
    <w:rsid w:val="00B3705C"/>
    <w:rsid w:val="00B841EA"/>
    <w:rsid w:val="00B9339A"/>
    <w:rsid w:val="00BA27EA"/>
    <w:rsid w:val="00BA55E7"/>
    <w:rsid w:val="00BA67CD"/>
    <w:rsid w:val="00BB2CF6"/>
    <w:rsid w:val="00BC135B"/>
    <w:rsid w:val="00BE0E14"/>
    <w:rsid w:val="00C06F95"/>
    <w:rsid w:val="00C17563"/>
    <w:rsid w:val="00C33312"/>
    <w:rsid w:val="00C3660C"/>
    <w:rsid w:val="00C421AD"/>
    <w:rsid w:val="00C42CC0"/>
    <w:rsid w:val="00C56A0D"/>
    <w:rsid w:val="00C6101A"/>
    <w:rsid w:val="00C75AAA"/>
    <w:rsid w:val="00CA6369"/>
    <w:rsid w:val="00CC1300"/>
    <w:rsid w:val="00CD7A67"/>
    <w:rsid w:val="00CE4E0C"/>
    <w:rsid w:val="00CF30DD"/>
    <w:rsid w:val="00D0285C"/>
    <w:rsid w:val="00D1166C"/>
    <w:rsid w:val="00D27B18"/>
    <w:rsid w:val="00D633D3"/>
    <w:rsid w:val="00D928DB"/>
    <w:rsid w:val="00DA02C7"/>
    <w:rsid w:val="00DD1AD9"/>
    <w:rsid w:val="00DF3A41"/>
    <w:rsid w:val="00DF51D6"/>
    <w:rsid w:val="00DF6505"/>
    <w:rsid w:val="00DF65DA"/>
    <w:rsid w:val="00E3390A"/>
    <w:rsid w:val="00E71D8E"/>
    <w:rsid w:val="00E93E74"/>
    <w:rsid w:val="00EA38F7"/>
    <w:rsid w:val="00EB126C"/>
    <w:rsid w:val="00EB5E2C"/>
    <w:rsid w:val="00EC2F62"/>
    <w:rsid w:val="00EE0213"/>
    <w:rsid w:val="00EE2807"/>
    <w:rsid w:val="00F013A5"/>
    <w:rsid w:val="00F043C0"/>
    <w:rsid w:val="00F04E14"/>
    <w:rsid w:val="00F1711F"/>
    <w:rsid w:val="00F2564A"/>
    <w:rsid w:val="00F42040"/>
    <w:rsid w:val="00F54A7C"/>
    <w:rsid w:val="00F570EA"/>
    <w:rsid w:val="00F70687"/>
    <w:rsid w:val="00FA1484"/>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5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63703911">
      <w:bodyDiv w:val="1"/>
      <w:marLeft w:val="0"/>
      <w:marRight w:val="0"/>
      <w:marTop w:val="0"/>
      <w:marBottom w:val="0"/>
      <w:divBdr>
        <w:top w:val="none" w:sz="0" w:space="0" w:color="auto"/>
        <w:left w:val="none" w:sz="0" w:space="0" w:color="auto"/>
        <w:bottom w:val="none" w:sz="0" w:space="0" w:color="auto"/>
        <w:right w:val="none" w:sz="0" w:space="0" w:color="auto"/>
      </w:divBdr>
    </w:div>
    <w:div w:id="1406218140">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527523730">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644460603">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66685341">
      <w:bodyDiv w:val="1"/>
      <w:marLeft w:val="0"/>
      <w:marRight w:val="0"/>
      <w:marTop w:val="0"/>
      <w:marBottom w:val="0"/>
      <w:divBdr>
        <w:top w:val="none" w:sz="0" w:space="0" w:color="auto"/>
        <w:left w:val="none" w:sz="0" w:space="0" w:color="auto"/>
        <w:bottom w:val="none" w:sz="0" w:space="0" w:color="auto"/>
        <w:right w:val="none" w:sz="0" w:space="0" w:color="auto"/>
      </w:divBdr>
    </w:div>
    <w:div w:id="1837646966">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nau.edu/avpaa/Assessment/ProgramLearningOutcomesPDF_0907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5ACCD-6A27-4045-A4A3-900BAA70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2013-11-07T18:05:00Z</dcterms:created>
  <dcterms:modified xsi:type="dcterms:W3CDTF">2013-11-20T23:46:00Z</dcterms:modified>
</cp:coreProperties>
</file>