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D70E33"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3713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History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5E7003" w:rsidP="00344D10">
            <w:pPr>
              <w:rPr>
                <w:rFonts w:ascii="Arial" w:hAnsi="Arial" w:cs="Arial"/>
                <w:b/>
                <w:sz w:val="24"/>
                <w:szCs w:val="24"/>
              </w:rPr>
            </w:pPr>
            <w:r>
              <w:rPr>
                <w:rFonts w:ascii="Arial" w:hAnsi="Arial" w:cs="Arial"/>
                <w:b/>
                <w:sz w:val="24"/>
                <w:szCs w:val="24"/>
              </w:rPr>
              <w:t>History Minor (HISMN)</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D70E3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D70E3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D70E33"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D70E3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D70E3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On completion of the requirements of this degree, students will demonstrate the ability to deal with historical ideas, processes, problems and subjects in the following ways: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a. Interpret and extract meaning from a variety of primary sources</w:t>
            </w:r>
          </w:p>
          <w:p w:rsidR="005E7003" w:rsidRDefault="005E7003" w:rsidP="005E7003">
            <w:pPr>
              <w:widowControl w:val="0"/>
              <w:autoSpaceDE w:val="0"/>
              <w:autoSpaceDN w:val="0"/>
              <w:adjustRightInd w:val="0"/>
              <w:rPr>
                <w:rFonts w:ascii="Arial" w:hAnsi="Arial" w:cs="Arial"/>
                <w:sz w:val="24"/>
                <w:szCs w:val="24"/>
              </w:rPr>
            </w:pP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b. Interpret secondary sources and existing historical scholarship critically through the following practices: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lastRenderedPageBreak/>
              <w:t>i.  identifying specific interpretations of a topic in a source;</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ii. identifying points of agreement as well as of variance or conflict between various historians’ interpretations of historical issues and problems;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iii. inferring and analyzing assumptions underlying different historians’ interpretations of issues and problems;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iv. applying different assumptions to the same subject matter and generating  alternate questions and possible conclusions</w:t>
            </w:r>
          </w:p>
          <w:p w:rsidR="005E7003" w:rsidRDefault="005E7003" w:rsidP="005E7003">
            <w:pPr>
              <w:widowControl w:val="0"/>
              <w:autoSpaceDE w:val="0"/>
              <w:autoSpaceDN w:val="0"/>
              <w:adjustRightInd w:val="0"/>
              <w:rPr>
                <w:rFonts w:ascii="Arial" w:hAnsi="Arial" w:cs="Arial"/>
                <w:sz w:val="24"/>
                <w:szCs w:val="24"/>
              </w:rPr>
            </w:pP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c. Make arguments based on evidence from primary and secondary sources through the following practices: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 comparing their own findings with other evidence from the period on the subject and/or on relevant subjects;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ii. formulating conclusions about the issue under study;</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iii. testing such conclusions against additional evidence and the ideas of other historians;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iv. developing their own historical interpretations;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v. addressing conflicting evidence and alternative perspectives;</w:t>
            </w: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vi. recognizing ways in which their contemporary society’s concerns inform their own evaluations of the past</w:t>
            </w:r>
          </w:p>
          <w:p w:rsidR="005E7003" w:rsidRDefault="005E7003" w:rsidP="005E7003">
            <w:pPr>
              <w:widowControl w:val="0"/>
              <w:autoSpaceDE w:val="0"/>
              <w:autoSpaceDN w:val="0"/>
              <w:adjustRightInd w:val="0"/>
              <w:rPr>
                <w:rFonts w:ascii="Arial" w:hAnsi="Arial" w:cs="Arial"/>
                <w:sz w:val="24"/>
                <w:szCs w:val="24"/>
              </w:rPr>
            </w:pP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 xml:space="preserve">d. Express analytical and interpretive understandings of history through writing in ways and formats that meet appropriate academic standards </w:t>
            </w:r>
          </w:p>
          <w:p w:rsidR="005E7003" w:rsidRDefault="005E7003" w:rsidP="005E7003">
            <w:pPr>
              <w:widowControl w:val="0"/>
              <w:autoSpaceDE w:val="0"/>
              <w:autoSpaceDN w:val="0"/>
              <w:adjustRightInd w:val="0"/>
              <w:rPr>
                <w:rFonts w:ascii="Arial" w:hAnsi="Arial" w:cs="Arial"/>
                <w:sz w:val="24"/>
                <w:szCs w:val="24"/>
              </w:rPr>
            </w:pPr>
          </w:p>
          <w:p w:rsidR="005E7003" w:rsidRPr="006C5A6A" w:rsidRDefault="005E7003" w:rsidP="005E7003">
            <w:pPr>
              <w:widowControl w:val="0"/>
              <w:autoSpaceDE w:val="0"/>
              <w:autoSpaceDN w:val="0"/>
              <w:adjustRightInd w:val="0"/>
              <w:rPr>
                <w:rFonts w:ascii="Arial" w:hAnsi="Arial" w:cs="Arial"/>
                <w:sz w:val="24"/>
                <w:szCs w:val="24"/>
              </w:rPr>
            </w:pPr>
            <w:r w:rsidRPr="006C5A6A">
              <w:rPr>
                <w:rFonts w:ascii="Arial" w:hAnsi="Arial" w:cs="Arial"/>
                <w:sz w:val="24"/>
                <w:szCs w:val="24"/>
              </w:rPr>
              <w:t>e. Express analytical and interpretive understandings of history through oral presentations in ways that meet appropriate academic standards </w:t>
            </w:r>
          </w:p>
          <w:p w:rsidR="004F3222" w:rsidRPr="00344D10" w:rsidRDefault="004F3222" w:rsidP="000F4823">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5E7003" w:rsidRDefault="005E7003">
            <w:pPr>
              <w:rPr>
                <w:rFonts w:ascii="Arial" w:hAnsi="Arial" w:cs="Arial"/>
                <w:b/>
                <w:sz w:val="24"/>
                <w:szCs w:val="24"/>
              </w:rPr>
            </w:pPr>
          </w:p>
          <w:p w:rsidR="005E7003" w:rsidRDefault="005E7003">
            <w:pPr>
              <w:rPr>
                <w:rFonts w:ascii="Arial" w:hAnsi="Arial" w:cs="Arial"/>
                <w:b/>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5E7003">
              <w:rPr>
                <w:rFonts w:ascii="Arial" w:hAnsi="Arial" w:cs="Arial"/>
                <w:b/>
                <w:sz w:val="24"/>
                <w:szCs w:val="24"/>
              </w:rPr>
              <w:t>N</w:t>
            </w:r>
            <w:r w:rsidRPr="00344D10">
              <w:rPr>
                <w:rFonts w:ascii="Arial" w:hAnsi="Arial" w:cs="Arial"/>
                <w:b/>
                <w:sz w:val="24"/>
                <w:szCs w:val="24"/>
              </w:rPr>
              <w:t>GED</w:t>
            </w:r>
          </w:p>
          <w:p w:rsidR="0065207F" w:rsidRDefault="0065207F">
            <w:pPr>
              <w:rPr>
                <w:rFonts w:ascii="Arial" w:hAnsi="Arial" w:cs="Arial"/>
                <w:sz w:val="24"/>
                <w:szCs w:val="24"/>
              </w:rPr>
            </w:pP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C33312">
        <w:tc>
          <w:tcPr>
            <w:tcW w:w="5598" w:type="dxa"/>
          </w:tcPr>
          <w:p w:rsidR="0065207F" w:rsidRPr="0065207F" w:rsidRDefault="00D70E33" w:rsidP="0065207F">
            <w:pPr>
              <w:pStyle w:val="Heading3"/>
              <w:spacing w:line="260" w:lineRule="auto"/>
              <w:outlineLvl w:val="2"/>
              <w:rPr>
                <w:rFonts w:ascii="Arial" w:hAnsi="Arial" w:cs="Arial"/>
                <w:szCs w:val="24"/>
              </w:rPr>
            </w:pPr>
            <w:r w:rsidRPr="00D70E3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A39CA" w:rsidRPr="005821C8" w:rsidRDefault="002A39CA"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9803E6" w:rsidRPr="00DA7328" w:rsidRDefault="009803E6" w:rsidP="009803E6">
            <w:pPr>
              <w:pStyle w:val="Heading4"/>
              <w:outlineLvl w:val="3"/>
              <w:rPr>
                <w:rFonts w:ascii="Tahoma" w:hAnsi="Tahoma" w:cs="Tahoma"/>
                <w:sz w:val="24"/>
                <w:szCs w:val="24"/>
              </w:rPr>
            </w:pPr>
            <w:r w:rsidRPr="00DA7328">
              <w:rPr>
                <w:rFonts w:ascii="Tahoma" w:hAnsi="Tahoma" w:cs="Tahoma"/>
                <w:sz w:val="24"/>
                <w:szCs w:val="24"/>
              </w:rPr>
              <w:t>History, Minor</w:t>
            </w:r>
          </w:p>
          <w:p w:rsidR="009803E6" w:rsidRDefault="009803E6" w:rsidP="009803E6">
            <w:pPr>
              <w:rPr>
                <w:rFonts w:ascii="Tahoma" w:hAnsi="Tahoma" w:cs="Tahoma"/>
                <w:sz w:val="24"/>
                <w:szCs w:val="24"/>
              </w:rPr>
            </w:pPr>
          </w:p>
          <w:p w:rsidR="009803E6" w:rsidRPr="00DA7328" w:rsidRDefault="009803E6" w:rsidP="009803E6">
            <w:pPr>
              <w:rPr>
                <w:rFonts w:ascii="Tahoma" w:hAnsi="Tahoma" w:cs="Tahoma"/>
                <w:sz w:val="24"/>
                <w:szCs w:val="24"/>
              </w:rPr>
            </w:pPr>
            <w:r>
              <w:rPr>
                <w:rFonts w:ascii="Tahoma" w:hAnsi="Tahoma" w:cs="Tahoma"/>
                <w:sz w:val="24"/>
                <w:szCs w:val="24"/>
              </w:rPr>
              <w:t>I</w:t>
            </w:r>
            <w:r w:rsidRPr="00DA7328">
              <w:rPr>
                <w:rFonts w:ascii="Tahoma" w:hAnsi="Tahoma" w:cs="Tahoma"/>
                <w:sz w:val="24"/>
                <w:szCs w:val="24"/>
              </w:rPr>
              <w:t>n addition to University Requirements:</w:t>
            </w:r>
          </w:p>
          <w:p w:rsidR="009803E6" w:rsidRPr="00DA7328" w:rsidRDefault="009803E6" w:rsidP="009803E6">
            <w:pPr>
              <w:rPr>
                <w:rFonts w:ascii="Tahoma" w:hAnsi="Tahoma" w:cs="Tahoma"/>
                <w:sz w:val="24"/>
                <w:szCs w:val="24"/>
              </w:rPr>
            </w:pPr>
          </w:p>
          <w:p w:rsidR="009803E6" w:rsidRPr="00DA7328" w:rsidRDefault="009803E6" w:rsidP="009803E6">
            <w:pPr>
              <w:pStyle w:val="ListParagraph"/>
              <w:numPr>
                <w:ilvl w:val="0"/>
                <w:numId w:val="27"/>
              </w:numPr>
              <w:rPr>
                <w:rFonts w:ascii="Tahoma" w:hAnsi="Tahoma" w:cs="Tahoma"/>
                <w:sz w:val="24"/>
                <w:szCs w:val="24"/>
              </w:rPr>
            </w:pPr>
            <w:r w:rsidRPr="00DA7328">
              <w:rPr>
                <w:rFonts w:ascii="Tahoma" w:hAnsi="Tahoma" w:cs="Tahoma"/>
                <w:sz w:val="24"/>
                <w:szCs w:val="24"/>
              </w:rPr>
              <w:t>Complete individual plan requirements.</w:t>
            </w:r>
          </w:p>
          <w:p w:rsidR="009803E6" w:rsidRPr="00DA7328" w:rsidRDefault="009803E6" w:rsidP="009803E6">
            <w:pPr>
              <w:rPr>
                <w:rFonts w:ascii="Tahoma" w:hAnsi="Tahoma" w:cs="Tahoma"/>
                <w:sz w:val="24"/>
                <w:szCs w:val="24"/>
              </w:rPr>
            </w:pPr>
          </w:p>
          <w:p w:rsidR="009803E6" w:rsidRDefault="009803E6" w:rsidP="009803E6">
            <w:pPr>
              <w:rPr>
                <w:rFonts w:ascii="Tahoma" w:hAnsi="Tahoma" w:cs="Tahoma"/>
                <w:sz w:val="24"/>
                <w:szCs w:val="24"/>
              </w:rPr>
            </w:pPr>
            <w:r w:rsidRPr="00DA7328">
              <w:rPr>
                <w:rFonts w:ascii="Tahoma" w:hAnsi="Tahoma" w:cs="Tahoma"/>
                <w:sz w:val="24"/>
                <w:szCs w:val="24"/>
              </w:rPr>
              <w:t>Please note that you may be able to use some courses to meet more than one requirement. Contact your advisor for details.</w:t>
            </w:r>
          </w:p>
          <w:p w:rsidR="009803E6" w:rsidRDefault="009803E6" w:rsidP="009803E6">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160"/>
            </w:tblGrid>
            <w:tr w:rsidR="009803E6" w:rsidRPr="00DA7328" w:rsidTr="00EC44F3">
              <w:trPr>
                <w:tblHeader/>
                <w:tblCellSpacing w:w="15" w:type="dxa"/>
              </w:trPr>
              <w:tc>
                <w:tcPr>
                  <w:tcW w:w="2830" w:type="dxa"/>
                  <w:vAlign w:val="center"/>
                  <w:hideMark/>
                </w:tcPr>
                <w:p w:rsidR="009803E6" w:rsidRPr="00DA7328" w:rsidRDefault="009803E6" w:rsidP="00EC44F3">
                  <w:pPr>
                    <w:rPr>
                      <w:rFonts w:ascii="Tahoma" w:hAnsi="Tahoma" w:cs="Tahoma"/>
                      <w:sz w:val="16"/>
                      <w:szCs w:val="16"/>
                    </w:rPr>
                  </w:pPr>
                  <w:r w:rsidRPr="00DA7328">
                    <w:rPr>
                      <w:rFonts w:ascii="Tahoma" w:hAnsi="Tahoma" w:cs="Tahoma"/>
                      <w:sz w:val="16"/>
                      <w:szCs w:val="16"/>
                    </w:rPr>
                    <w:t>Minimum Units for Completion</w:t>
                  </w:r>
                </w:p>
              </w:tc>
              <w:tc>
                <w:tcPr>
                  <w:tcW w:w="2115" w:type="dxa"/>
                  <w:vAlign w:val="center"/>
                  <w:hideMark/>
                </w:tcPr>
                <w:p w:rsidR="009803E6" w:rsidRPr="00DA7328" w:rsidRDefault="009803E6" w:rsidP="00EC44F3">
                  <w:pPr>
                    <w:rPr>
                      <w:rFonts w:ascii="Tahoma" w:hAnsi="Tahoma" w:cs="Tahoma"/>
                      <w:sz w:val="16"/>
                      <w:szCs w:val="16"/>
                    </w:rPr>
                  </w:pPr>
                  <w:r w:rsidRPr="00DA7328">
                    <w:rPr>
                      <w:rFonts w:ascii="Tahoma" w:hAnsi="Tahoma" w:cs="Tahoma"/>
                      <w:sz w:val="16"/>
                      <w:szCs w:val="16"/>
                    </w:rPr>
                    <w:t>18</w:t>
                  </w:r>
                </w:p>
              </w:tc>
            </w:tr>
            <w:tr w:rsidR="009803E6" w:rsidRPr="00DA7328" w:rsidTr="00EC44F3">
              <w:trPr>
                <w:tblCellSpacing w:w="15" w:type="dxa"/>
              </w:trPr>
              <w:tc>
                <w:tcPr>
                  <w:tcW w:w="2830" w:type="dxa"/>
                  <w:vAlign w:val="center"/>
                  <w:hideMark/>
                </w:tcPr>
                <w:p w:rsidR="009803E6" w:rsidRPr="00DA7328" w:rsidRDefault="009803E6" w:rsidP="00EC44F3">
                  <w:pPr>
                    <w:rPr>
                      <w:rFonts w:ascii="Tahoma" w:hAnsi="Tahoma" w:cs="Tahoma"/>
                      <w:sz w:val="16"/>
                      <w:szCs w:val="16"/>
                    </w:rPr>
                  </w:pPr>
                  <w:r w:rsidRPr="00DA7328">
                    <w:rPr>
                      <w:rFonts w:ascii="Tahoma" w:hAnsi="Tahoma" w:cs="Tahoma"/>
                      <w:sz w:val="16"/>
                      <w:szCs w:val="16"/>
                    </w:rPr>
                    <w:t>GPA</w:t>
                  </w:r>
                </w:p>
              </w:tc>
              <w:tc>
                <w:tcPr>
                  <w:tcW w:w="2115" w:type="dxa"/>
                  <w:vAlign w:val="center"/>
                  <w:hideMark/>
                </w:tcPr>
                <w:p w:rsidR="009803E6" w:rsidRPr="00DA7328" w:rsidRDefault="009803E6" w:rsidP="00EC44F3">
                  <w:pPr>
                    <w:rPr>
                      <w:rFonts w:ascii="Tahoma" w:hAnsi="Tahoma" w:cs="Tahoma"/>
                      <w:sz w:val="16"/>
                      <w:szCs w:val="16"/>
                    </w:rPr>
                  </w:pPr>
                  <w:r w:rsidRPr="00DA7328">
                    <w:rPr>
                      <w:rFonts w:ascii="Tahoma" w:hAnsi="Tahoma" w:cs="Tahoma"/>
                      <w:sz w:val="16"/>
                      <w:szCs w:val="16"/>
                    </w:rPr>
                    <w:t>2.5</w:t>
                  </w:r>
                </w:p>
              </w:tc>
            </w:tr>
          </w:tbl>
          <w:p w:rsidR="009803E6" w:rsidRDefault="009803E6" w:rsidP="009803E6">
            <w:pPr>
              <w:rPr>
                <w:rFonts w:ascii="Tahoma" w:hAnsi="Tahoma" w:cs="Tahoma"/>
                <w:sz w:val="24"/>
                <w:szCs w:val="24"/>
              </w:rPr>
            </w:pPr>
          </w:p>
          <w:p w:rsidR="009803E6" w:rsidRPr="00DA7328" w:rsidRDefault="009803E6" w:rsidP="009803E6">
            <w:pPr>
              <w:rPr>
                <w:rFonts w:ascii="Tahoma" w:hAnsi="Tahoma" w:cs="Tahoma"/>
                <w:b/>
                <w:i/>
                <w:sz w:val="24"/>
                <w:szCs w:val="24"/>
              </w:rPr>
            </w:pPr>
            <w:r w:rsidRPr="00DA7328">
              <w:rPr>
                <w:rFonts w:ascii="Tahoma" w:hAnsi="Tahoma" w:cs="Tahoma"/>
                <w:b/>
                <w:i/>
                <w:sz w:val="24"/>
                <w:szCs w:val="24"/>
              </w:rPr>
              <w:t>Minor Requirements</w:t>
            </w:r>
          </w:p>
          <w:p w:rsidR="009803E6" w:rsidRPr="00DA7328" w:rsidRDefault="009803E6" w:rsidP="009803E6">
            <w:pPr>
              <w:rPr>
                <w:rFonts w:ascii="Tahoma" w:hAnsi="Tahoma" w:cs="Tahoma"/>
                <w:b/>
                <w:i/>
                <w:sz w:val="24"/>
                <w:szCs w:val="24"/>
              </w:rPr>
            </w:pPr>
          </w:p>
          <w:p w:rsidR="009803E6" w:rsidRDefault="009803E6" w:rsidP="009803E6">
            <w:pPr>
              <w:rPr>
                <w:rFonts w:ascii="Tahoma" w:hAnsi="Tahoma" w:cs="Tahoma"/>
                <w:sz w:val="24"/>
                <w:szCs w:val="24"/>
              </w:rPr>
            </w:pPr>
            <w:r w:rsidRPr="00DA7328">
              <w:rPr>
                <w:rFonts w:ascii="Tahoma" w:hAnsi="Tahoma" w:cs="Tahoma"/>
                <w:sz w:val="24"/>
                <w:szCs w:val="24"/>
              </w:rPr>
              <w:t>Take the following 18 units with a minimum GPA of 2.5:</w:t>
            </w:r>
          </w:p>
          <w:p w:rsidR="009803E6" w:rsidRPr="00DA7328" w:rsidRDefault="009803E6" w:rsidP="009803E6">
            <w:pPr>
              <w:rPr>
                <w:rFonts w:ascii="Tahoma" w:hAnsi="Tahoma" w:cs="Tahoma"/>
                <w:sz w:val="24"/>
                <w:szCs w:val="24"/>
              </w:rPr>
            </w:pPr>
          </w:p>
          <w:p w:rsidR="009803E6" w:rsidRPr="00DA7328" w:rsidRDefault="009803E6" w:rsidP="009803E6">
            <w:pPr>
              <w:pStyle w:val="ListParagraph"/>
              <w:numPr>
                <w:ilvl w:val="0"/>
                <w:numId w:val="27"/>
              </w:numPr>
              <w:rPr>
                <w:rFonts w:ascii="Tahoma" w:hAnsi="Tahoma" w:cs="Tahoma"/>
                <w:sz w:val="24"/>
                <w:szCs w:val="24"/>
              </w:rPr>
            </w:pPr>
            <w:r w:rsidRPr="00DA7328">
              <w:rPr>
                <w:rFonts w:ascii="Tahoma" w:hAnsi="Tahoma" w:cs="Tahoma"/>
                <w:sz w:val="24"/>
                <w:szCs w:val="24"/>
              </w:rPr>
              <w:t xml:space="preserve">Select two courses from: HIS 100, HIS 102, HIS 220, HIS 221, HIS 230, HIS 231, HIS 240, HIS 241, </w:t>
            </w:r>
            <w:r w:rsidR="001E341A">
              <w:rPr>
                <w:rFonts w:ascii="Tahoma" w:hAnsi="Tahoma" w:cs="Tahoma"/>
                <w:sz w:val="24"/>
                <w:szCs w:val="24"/>
              </w:rPr>
              <w:t xml:space="preserve">HIS 249, </w:t>
            </w:r>
            <w:r w:rsidRPr="00DA7328">
              <w:rPr>
                <w:rFonts w:ascii="Tahoma" w:hAnsi="Tahoma" w:cs="Tahoma"/>
                <w:sz w:val="24"/>
                <w:szCs w:val="24"/>
              </w:rPr>
              <w:t>HIS 250, HIS 251, HIS 280, HIS 281, HIS 291, HIS 292, HIS 293 (6 units)</w:t>
            </w:r>
          </w:p>
          <w:p w:rsidR="009803E6" w:rsidRPr="00DA7328" w:rsidRDefault="009803E6" w:rsidP="009803E6">
            <w:pPr>
              <w:pStyle w:val="ListParagraph"/>
              <w:numPr>
                <w:ilvl w:val="0"/>
                <w:numId w:val="27"/>
              </w:numPr>
              <w:rPr>
                <w:rFonts w:ascii="Tahoma" w:hAnsi="Tahoma" w:cs="Tahoma"/>
                <w:sz w:val="24"/>
                <w:szCs w:val="24"/>
              </w:rPr>
            </w:pPr>
            <w:r w:rsidRPr="00DA7328">
              <w:rPr>
                <w:rFonts w:ascii="Tahoma" w:hAnsi="Tahoma" w:cs="Tahoma"/>
                <w:sz w:val="24"/>
                <w:szCs w:val="24"/>
              </w:rPr>
              <w:t>One 400-level history course. You may, alternately, repeat an appropriate 1-unit course, such as HIS 499 for a total of 3 units. (3 units)</w:t>
            </w:r>
          </w:p>
          <w:p w:rsidR="009803E6" w:rsidRDefault="009803E6" w:rsidP="009803E6">
            <w:pPr>
              <w:pStyle w:val="ListParagraph"/>
              <w:numPr>
                <w:ilvl w:val="0"/>
                <w:numId w:val="27"/>
              </w:numPr>
              <w:rPr>
                <w:rFonts w:ascii="Tahoma" w:hAnsi="Tahoma" w:cs="Tahoma"/>
                <w:sz w:val="24"/>
                <w:szCs w:val="24"/>
              </w:rPr>
            </w:pPr>
            <w:r w:rsidRPr="00DA7328">
              <w:rPr>
                <w:rFonts w:ascii="Tahoma" w:hAnsi="Tahoma" w:cs="Tahoma"/>
                <w:sz w:val="24"/>
                <w:szCs w:val="24"/>
              </w:rPr>
              <w:t>Three additional history courses at any level. You may, alternately, combine variable-unit HIS courses, so long as they total at least 9 units. (9 units)</w:t>
            </w:r>
          </w:p>
          <w:p w:rsidR="009803E6" w:rsidRDefault="009803E6" w:rsidP="009803E6">
            <w:pPr>
              <w:pStyle w:val="ListParagraph"/>
              <w:ind w:left="360"/>
              <w:rPr>
                <w:rFonts w:ascii="Tahoma" w:hAnsi="Tahoma" w:cs="Tahoma"/>
                <w:sz w:val="24"/>
                <w:szCs w:val="24"/>
              </w:rPr>
            </w:pPr>
          </w:p>
          <w:p w:rsidR="009803E6" w:rsidRPr="00DA7328" w:rsidRDefault="009803E6" w:rsidP="009803E6">
            <w:pPr>
              <w:rPr>
                <w:rFonts w:ascii="Tahoma" w:hAnsi="Tahoma" w:cs="Tahoma"/>
                <w:sz w:val="24"/>
                <w:szCs w:val="24"/>
              </w:rPr>
            </w:pPr>
            <w:r w:rsidRPr="00DA7328">
              <w:rPr>
                <w:rFonts w:ascii="Tahoma" w:hAnsi="Tahoma" w:cs="Tahoma"/>
                <w:sz w:val="24"/>
                <w:szCs w:val="24"/>
              </w:rPr>
              <w:t>If your major plan requires history courses or allows you to take history courses as part of your major, you may not count these courses as part of your Minor in History.</w:t>
            </w:r>
          </w:p>
          <w:p w:rsidR="009803E6" w:rsidRPr="00DA7328" w:rsidRDefault="009803E6" w:rsidP="009803E6">
            <w:pPr>
              <w:rPr>
                <w:rFonts w:ascii="Tahoma" w:hAnsi="Tahoma" w:cs="Tahoma"/>
                <w:sz w:val="24"/>
                <w:szCs w:val="24"/>
              </w:rPr>
            </w:pPr>
          </w:p>
          <w:p w:rsidR="009803E6" w:rsidRPr="00DA7328" w:rsidRDefault="009803E6" w:rsidP="009803E6">
            <w:pPr>
              <w:rPr>
                <w:rFonts w:ascii="Tahoma" w:hAnsi="Tahoma" w:cs="Tahoma"/>
                <w:sz w:val="24"/>
                <w:szCs w:val="24"/>
              </w:rPr>
            </w:pPr>
            <w:r w:rsidRPr="00DA7328">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0F4823">
            <w:pPr>
              <w:rPr>
                <w:rFonts w:ascii="Tahoma" w:hAnsi="Tahoma" w:cs="Tahoma"/>
                <w:sz w:val="24"/>
                <w:szCs w:val="24"/>
              </w:rPr>
            </w:pP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1E341A" w:rsidRPr="00DA7328" w:rsidRDefault="001E341A" w:rsidP="001E341A">
            <w:pPr>
              <w:pStyle w:val="Heading4"/>
              <w:outlineLvl w:val="3"/>
              <w:rPr>
                <w:rFonts w:ascii="Tahoma" w:hAnsi="Tahoma" w:cs="Tahoma"/>
                <w:sz w:val="24"/>
                <w:szCs w:val="24"/>
              </w:rPr>
            </w:pPr>
            <w:r w:rsidRPr="00DA7328">
              <w:rPr>
                <w:rFonts w:ascii="Tahoma" w:hAnsi="Tahoma" w:cs="Tahoma"/>
                <w:sz w:val="24"/>
                <w:szCs w:val="24"/>
              </w:rPr>
              <w:t>History, Minor</w:t>
            </w:r>
          </w:p>
          <w:p w:rsidR="001E341A" w:rsidRDefault="001E341A" w:rsidP="001E341A">
            <w:pPr>
              <w:rPr>
                <w:rFonts w:ascii="Tahoma" w:hAnsi="Tahoma" w:cs="Tahoma"/>
                <w:sz w:val="24"/>
                <w:szCs w:val="24"/>
              </w:rPr>
            </w:pPr>
          </w:p>
          <w:p w:rsidR="001E341A" w:rsidRPr="00DA7328" w:rsidRDefault="001E341A" w:rsidP="001E341A">
            <w:pPr>
              <w:rPr>
                <w:rFonts w:ascii="Tahoma" w:hAnsi="Tahoma" w:cs="Tahoma"/>
                <w:sz w:val="24"/>
                <w:szCs w:val="24"/>
              </w:rPr>
            </w:pPr>
            <w:r>
              <w:rPr>
                <w:rFonts w:ascii="Tahoma" w:hAnsi="Tahoma" w:cs="Tahoma"/>
                <w:sz w:val="24"/>
                <w:szCs w:val="24"/>
              </w:rPr>
              <w:t>I</w:t>
            </w:r>
            <w:r w:rsidRPr="00DA7328">
              <w:rPr>
                <w:rFonts w:ascii="Tahoma" w:hAnsi="Tahoma" w:cs="Tahoma"/>
                <w:sz w:val="24"/>
                <w:szCs w:val="24"/>
              </w:rPr>
              <w:t>n addition to University Requirements:</w:t>
            </w:r>
          </w:p>
          <w:p w:rsidR="001E341A" w:rsidRPr="00DA7328" w:rsidRDefault="001E341A" w:rsidP="001E341A">
            <w:pPr>
              <w:rPr>
                <w:rFonts w:ascii="Tahoma" w:hAnsi="Tahoma" w:cs="Tahoma"/>
                <w:sz w:val="24"/>
                <w:szCs w:val="24"/>
              </w:rPr>
            </w:pPr>
          </w:p>
          <w:p w:rsidR="001E341A" w:rsidRPr="00DA7328" w:rsidRDefault="001E341A" w:rsidP="001E341A">
            <w:pPr>
              <w:pStyle w:val="ListParagraph"/>
              <w:numPr>
                <w:ilvl w:val="0"/>
                <w:numId w:val="27"/>
              </w:numPr>
              <w:rPr>
                <w:rFonts w:ascii="Tahoma" w:hAnsi="Tahoma" w:cs="Tahoma"/>
                <w:sz w:val="24"/>
                <w:szCs w:val="24"/>
              </w:rPr>
            </w:pPr>
            <w:r w:rsidRPr="00DA7328">
              <w:rPr>
                <w:rFonts w:ascii="Tahoma" w:hAnsi="Tahoma" w:cs="Tahoma"/>
                <w:sz w:val="24"/>
                <w:szCs w:val="24"/>
              </w:rPr>
              <w:t>Complete individual plan requirements.</w:t>
            </w:r>
          </w:p>
          <w:p w:rsidR="001E341A" w:rsidRPr="00DA7328" w:rsidRDefault="001E341A" w:rsidP="001E341A">
            <w:pPr>
              <w:rPr>
                <w:rFonts w:ascii="Tahoma" w:hAnsi="Tahoma" w:cs="Tahoma"/>
                <w:sz w:val="24"/>
                <w:szCs w:val="24"/>
              </w:rPr>
            </w:pPr>
          </w:p>
          <w:p w:rsidR="001E341A" w:rsidRDefault="001E341A" w:rsidP="001E341A">
            <w:pPr>
              <w:rPr>
                <w:rFonts w:ascii="Tahoma" w:hAnsi="Tahoma" w:cs="Tahoma"/>
                <w:sz w:val="24"/>
                <w:szCs w:val="24"/>
              </w:rPr>
            </w:pPr>
            <w:r w:rsidRPr="00DA7328">
              <w:rPr>
                <w:rFonts w:ascii="Tahoma" w:hAnsi="Tahoma" w:cs="Tahoma"/>
                <w:sz w:val="24"/>
                <w:szCs w:val="24"/>
              </w:rPr>
              <w:t>Please note that you may be able to use some courses to meet more than one requirement. Contact your advisor for details.</w:t>
            </w:r>
          </w:p>
          <w:p w:rsidR="001E341A" w:rsidRDefault="001E341A" w:rsidP="001E341A">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160"/>
            </w:tblGrid>
            <w:tr w:rsidR="001E341A" w:rsidRPr="00DA7328" w:rsidTr="00EE0EF1">
              <w:trPr>
                <w:tblHeader/>
                <w:tblCellSpacing w:w="15" w:type="dxa"/>
              </w:trPr>
              <w:tc>
                <w:tcPr>
                  <w:tcW w:w="2830" w:type="dxa"/>
                  <w:vAlign w:val="center"/>
                  <w:hideMark/>
                </w:tcPr>
                <w:p w:rsidR="001E341A" w:rsidRPr="00DA7328" w:rsidRDefault="001E341A" w:rsidP="00EE0EF1">
                  <w:pPr>
                    <w:rPr>
                      <w:rFonts w:ascii="Tahoma" w:hAnsi="Tahoma" w:cs="Tahoma"/>
                      <w:sz w:val="16"/>
                      <w:szCs w:val="16"/>
                    </w:rPr>
                  </w:pPr>
                  <w:r w:rsidRPr="00DA7328">
                    <w:rPr>
                      <w:rFonts w:ascii="Tahoma" w:hAnsi="Tahoma" w:cs="Tahoma"/>
                      <w:sz w:val="16"/>
                      <w:szCs w:val="16"/>
                    </w:rPr>
                    <w:t>Minimum Units for Completion</w:t>
                  </w:r>
                </w:p>
              </w:tc>
              <w:tc>
                <w:tcPr>
                  <w:tcW w:w="2115" w:type="dxa"/>
                  <w:vAlign w:val="center"/>
                  <w:hideMark/>
                </w:tcPr>
                <w:p w:rsidR="001E341A" w:rsidRPr="00DA7328" w:rsidRDefault="001E341A" w:rsidP="00EE0EF1">
                  <w:pPr>
                    <w:rPr>
                      <w:rFonts w:ascii="Tahoma" w:hAnsi="Tahoma" w:cs="Tahoma"/>
                      <w:sz w:val="16"/>
                      <w:szCs w:val="16"/>
                    </w:rPr>
                  </w:pPr>
                  <w:r w:rsidRPr="00DA7328">
                    <w:rPr>
                      <w:rFonts w:ascii="Tahoma" w:hAnsi="Tahoma" w:cs="Tahoma"/>
                      <w:sz w:val="16"/>
                      <w:szCs w:val="16"/>
                    </w:rPr>
                    <w:t>18</w:t>
                  </w:r>
                </w:p>
              </w:tc>
            </w:tr>
            <w:tr w:rsidR="001E341A" w:rsidRPr="00DA7328" w:rsidTr="00EE0EF1">
              <w:trPr>
                <w:tblCellSpacing w:w="15" w:type="dxa"/>
              </w:trPr>
              <w:tc>
                <w:tcPr>
                  <w:tcW w:w="2830" w:type="dxa"/>
                  <w:vAlign w:val="center"/>
                  <w:hideMark/>
                </w:tcPr>
                <w:p w:rsidR="001E341A" w:rsidRPr="00DA7328" w:rsidRDefault="001E341A" w:rsidP="00EE0EF1">
                  <w:pPr>
                    <w:rPr>
                      <w:rFonts w:ascii="Tahoma" w:hAnsi="Tahoma" w:cs="Tahoma"/>
                      <w:sz w:val="16"/>
                      <w:szCs w:val="16"/>
                    </w:rPr>
                  </w:pPr>
                  <w:r w:rsidRPr="00DA7328">
                    <w:rPr>
                      <w:rFonts w:ascii="Tahoma" w:hAnsi="Tahoma" w:cs="Tahoma"/>
                      <w:sz w:val="16"/>
                      <w:szCs w:val="16"/>
                    </w:rPr>
                    <w:t>GPA</w:t>
                  </w:r>
                </w:p>
              </w:tc>
              <w:tc>
                <w:tcPr>
                  <w:tcW w:w="2115" w:type="dxa"/>
                  <w:vAlign w:val="center"/>
                  <w:hideMark/>
                </w:tcPr>
                <w:p w:rsidR="001E341A" w:rsidRPr="00DA7328" w:rsidRDefault="001E341A" w:rsidP="00EE0EF1">
                  <w:pPr>
                    <w:rPr>
                      <w:rFonts w:ascii="Tahoma" w:hAnsi="Tahoma" w:cs="Tahoma"/>
                      <w:sz w:val="16"/>
                      <w:szCs w:val="16"/>
                    </w:rPr>
                  </w:pPr>
                  <w:r w:rsidRPr="00DA7328">
                    <w:rPr>
                      <w:rFonts w:ascii="Tahoma" w:hAnsi="Tahoma" w:cs="Tahoma"/>
                      <w:sz w:val="16"/>
                      <w:szCs w:val="16"/>
                    </w:rPr>
                    <w:t>2.5</w:t>
                  </w:r>
                </w:p>
              </w:tc>
            </w:tr>
          </w:tbl>
          <w:p w:rsidR="001E341A" w:rsidRDefault="001E341A" w:rsidP="001E341A">
            <w:pPr>
              <w:rPr>
                <w:rFonts w:ascii="Tahoma" w:hAnsi="Tahoma" w:cs="Tahoma"/>
                <w:sz w:val="24"/>
                <w:szCs w:val="24"/>
              </w:rPr>
            </w:pPr>
          </w:p>
          <w:p w:rsidR="001E341A" w:rsidRPr="00DA7328" w:rsidRDefault="001E341A" w:rsidP="001E341A">
            <w:pPr>
              <w:rPr>
                <w:rFonts w:ascii="Tahoma" w:hAnsi="Tahoma" w:cs="Tahoma"/>
                <w:b/>
                <w:i/>
                <w:sz w:val="24"/>
                <w:szCs w:val="24"/>
              </w:rPr>
            </w:pPr>
            <w:r w:rsidRPr="00DA7328">
              <w:rPr>
                <w:rFonts w:ascii="Tahoma" w:hAnsi="Tahoma" w:cs="Tahoma"/>
                <w:b/>
                <w:i/>
                <w:sz w:val="24"/>
                <w:szCs w:val="24"/>
              </w:rPr>
              <w:t>Minor Requirements</w:t>
            </w:r>
          </w:p>
          <w:p w:rsidR="001E341A" w:rsidRPr="00DA7328" w:rsidRDefault="001E341A" w:rsidP="001E341A">
            <w:pPr>
              <w:rPr>
                <w:rFonts w:ascii="Tahoma" w:hAnsi="Tahoma" w:cs="Tahoma"/>
                <w:b/>
                <w:i/>
                <w:sz w:val="24"/>
                <w:szCs w:val="24"/>
              </w:rPr>
            </w:pPr>
          </w:p>
          <w:p w:rsidR="001E341A" w:rsidRDefault="001E341A" w:rsidP="001E341A">
            <w:pPr>
              <w:rPr>
                <w:rFonts w:ascii="Tahoma" w:hAnsi="Tahoma" w:cs="Tahoma"/>
                <w:sz w:val="24"/>
                <w:szCs w:val="24"/>
              </w:rPr>
            </w:pPr>
            <w:r w:rsidRPr="00DA7328">
              <w:rPr>
                <w:rFonts w:ascii="Tahoma" w:hAnsi="Tahoma" w:cs="Tahoma"/>
                <w:sz w:val="24"/>
                <w:szCs w:val="24"/>
              </w:rPr>
              <w:t>Take the following 18 units with a minimum GPA of 2.5</w:t>
            </w:r>
            <w:r w:rsidR="008E5F61" w:rsidRPr="008E5F61">
              <w:rPr>
                <w:rFonts w:ascii="Tahoma" w:hAnsi="Tahoma" w:cs="Tahoma"/>
                <w:b/>
                <w:sz w:val="24"/>
                <w:szCs w:val="24"/>
              </w:rPr>
              <w:t>, and no grade lower than a C</w:t>
            </w:r>
            <w:r w:rsidRPr="00DA7328">
              <w:rPr>
                <w:rFonts w:ascii="Tahoma" w:hAnsi="Tahoma" w:cs="Tahoma"/>
                <w:sz w:val="24"/>
                <w:szCs w:val="24"/>
              </w:rPr>
              <w:t>:</w:t>
            </w:r>
          </w:p>
          <w:p w:rsidR="001E341A" w:rsidRPr="00DA7328" w:rsidRDefault="001E341A" w:rsidP="001E341A">
            <w:pPr>
              <w:rPr>
                <w:rFonts w:ascii="Tahoma" w:hAnsi="Tahoma" w:cs="Tahoma"/>
                <w:sz w:val="24"/>
                <w:szCs w:val="24"/>
              </w:rPr>
            </w:pPr>
          </w:p>
          <w:p w:rsidR="001E341A" w:rsidRPr="00DA7328" w:rsidRDefault="001E341A" w:rsidP="001E341A">
            <w:pPr>
              <w:pStyle w:val="ListParagraph"/>
              <w:numPr>
                <w:ilvl w:val="0"/>
                <w:numId w:val="27"/>
              </w:numPr>
              <w:rPr>
                <w:rFonts w:ascii="Tahoma" w:hAnsi="Tahoma" w:cs="Tahoma"/>
                <w:sz w:val="24"/>
                <w:szCs w:val="24"/>
              </w:rPr>
            </w:pPr>
            <w:r w:rsidRPr="00DA7328">
              <w:rPr>
                <w:rFonts w:ascii="Tahoma" w:hAnsi="Tahoma" w:cs="Tahoma"/>
                <w:sz w:val="24"/>
                <w:szCs w:val="24"/>
              </w:rPr>
              <w:t xml:space="preserve">Select two courses from: HIS 100, HIS 102, HIS 220, HIS 221, HIS 230, HIS 231, HIS 240, HIS 241, </w:t>
            </w:r>
            <w:r>
              <w:rPr>
                <w:rFonts w:ascii="Tahoma" w:hAnsi="Tahoma" w:cs="Tahoma"/>
                <w:sz w:val="24"/>
                <w:szCs w:val="24"/>
              </w:rPr>
              <w:t xml:space="preserve">HIS 249, </w:t>
            </w:r>
            <w:r w:rsidRPr="00DA7328">
              <w:rPr>
                <w:rFonts w:ascii="Tahoma" w:hAnsi="Tahoma" w:cs="Tahoma"/>
                <w:sz w:val="24"/>
                <w:szCs w:val="24"/>
              </w:rPr>
              <w:t>HIS 250, HIS 251, HIS 280, HIS 281, HIS 291, HIS 292, HIS 293 (6 units)</w:t>
            </w:r>
          </w:p>
          <w:p w:rsidR="001E341A" w:rsidRPr="003713B7" w:rsidRDefault="001E341A" w:rsidP="001E341A">
            <w:pPr>
              <w:pStyle w:val="ListParagraph"/>
              <w:numPr>
                <w:ilvl w:val="0"/>
                <w:numId w:val="27"/>
              </w:numPr>
              <w:rPr>
                <w:rFonts w:ascii="Tahoma" w:hAnsi="Tahoma" w:cs="Tahoma"/>
                <w:b/>
                <w:strike/>
                <w:color w:val="FF0000"/>
                <w:sz w:val="24"/>
                <w:szCs w:val="24"/>
              </w:rPr>
            </w:pPr>
            <w:r w:rsidRPr="003713B7">
              <w:rPr>
                <w:rFonts w:ascii="Tahoma" w:hAnsi="Tahoma" w:cs="Tahoma"/>
                <w:b/>
                <w:strike/>
                <w:color w:val="FF0000"/>
                <w:sz w:val="24"/>
                <w:szCs w:val="24"/>
              </w:rPr>
              <w:t>One 400-level history course. You may, alternately, repeat an appropriate 1-unit course, such as HIS 499 for a total of 3 units. (3 units)</w:t>
            </w:r>
          </w:p>
          <w:p w:rsidR="003713B7" w:rsidRPr="003713B7" w:rsidRDefault="003713B7" w:rsidP="003713B7">
            <w:pPr>
              <w:pStyle w:val="ListParagraph"/>
              <w:numPr>
                <w:ilvl w:val="0"/>
                <w:numId w:val="28"/>
              </w:numPr>
              <w:rPr>
                <w:rFonts w:ascii="Tahoma" w:hAnsi="Tahoma" w:cs="Tahoma"/>
                <w:b/>
                <w:sz w:val="24"/>
                <w:szCs w:val="24"/>
              </w:rPr>
            </w:pPr>
            <w:r w:rsidRPr="003713B7">
              <w:rPr>
                <w:rFonts w:ascii="Tahoma" w:hAnsi="Tahoma" w:cs="Tahoma"/>
                <w:b/>
                <w:sz w:val="24"/>
                <w:szCs w:val="24"/>
              </w:rPr>
              <w:t>Additional 300-400 level HIS courses; excluding HIS 306, HIS 330, HIS 430 and HIS 466  (6 units)</w:t>
            </w:r>
          </w:p>
          <w:p w:rsidR="007F1F43" w:rsidRDefault="001E341A" w:rsidP="007F1F43">
            <w:pPr>
              <w:pStyle w:val="ListParagraph"/>
              <w:numPr>
                <w:ilvl w:val="0"/>
                <w:numId w:val="27"/>
              </w:numPr>
              <w:rPr>
                <w:rFonts w:ascii="Tahoma" w:hAnsi="Tahoma" w:cs="Tahoma"/>
                <w:sz w:val="24"/>
                <w:szCs w:val="24"/>
              </w:rPr>
            </w:pPr>
            <w:r w:rsidRPr="003713B7">
              <w:rPr>
                <w:rFonts w:ascii="Tahoma" w:hAnsi="Tahoma" w:cs="Tahoma"/>
                <w:b/>
                <w:strike/>
                <w:color w:val="FF0000"/>
                <w:sz w:val="24"/>
                <w:szCs w:val="24"/>
              </w:rPr>
              <w:t>Three</w:t>
            </w:r>
            <w:r w:rsidRPr="00DA7328">
              <w:rPr>
                <w:rFonts w:ascii="Tahoma" w:hAnsi="Tahoma" w:cs="Tahoma"/>
                <w:sz w:val="24"/>
                <w:szCs w:val="24"/>
              </w:rPr>
              <w:t xml:space="preserve"> </w:t>
            </w:r>
            <w:r w:rsidR="003713B7" w:rsidRPr="003713B7">
              <w:rPr>
                <w:rFonts w:ascii="Tahoma" w:hAnsi="Tahoma" w:cs="Tahoma"/>
                <w:b/>
                <w:sz w:val="24"/>
                <w:szCs w:val="24"/>
              </w:rPr>
              <w:t>Two</w:t>
            </w:r>
            <w:r w:rsidR="003713B7">
              <w:rPr>
                <w:rFonts w:ascii="Tahoma" w:hAnsi="Tahoma" w:cs="Tahoma"/>
                <w:sz w:val="24"/>
                <w:szCs w:val="24"/>
              </w:rPr>
              <w:t xml:space="preserve"> </w:t>
            </w:r>
            <w:r w:rsidRPr="00DA7328">
              <w:rPr>
                <w:rFonts w:ascii="Tahoma" w:hAnsi="Tahoma" w:cs="Tahoma"/>
                <w:sz w:val="24"/>
                <w:szCs w:val="24"/>
              </w:rPr>
              <w:t xml:space="preserve">additional history courses at any level. You may, alternately, combine variable-unit HIS courses, so long as they total at least </w:t>
            </w:r>
            <w:r w:rsidRPr="003713B7">
              <w:rPr>
                <w:rFonts w:ascii="Tahoma" w:hAnsi="Tahoma" w:cs="Tahoma"/>
                <w:b/>
                <w:strike/>
                <w:color w:val="FF0000"/>
                <w:sz w:val="24"/>
                <w:szCs w:val="24"/>
              </w:rPr>
              <w:t>9</w:t>
            </w:r>
            <w:r w:rsidRPr="00DA7328">
              <w:rPr>
                <w:rFonts w:ascii="Tahoma" w:hAnsi="Tahoma" w:cs="Tahoma"/>
                <w:sz w:val="24"/>
                <w:szCs w:val="24"/>
              </w:rPr>
              <w:t xml:space="preserve"> </w:t>
            </w:r>
            <w:r w:rsidR="003713B7" w:rsidRPr="003713B7">
              <w:rPr>
                <w:rFonts w:ascii="Tahoma" w:hAnsi="Tahoma" w:cs="Tahoma"/>
                <w:b/>
                <w:sz w:val="24"/>
                <w:szCs w:val="24"/>
              </w:rPr>
              <w:t>6</w:t>
            </w:r>
            <w:r w:rsidR="003713B7">
              <w:rPr>
                <w:rFonts w:ascii="Tahoma" w:hAnsi="Tahoma" w:cs="Tahoma"/>
                <w:sz w:val="24"/>
                <w:szCs w:val="24"/>
              </w:rPr>
              <w:t xml:space="preserve"> </w:t>
            </w:r>
            <w:r w:rsidRPr="00DA7328">
              <w:rPr>
                <w:rFonts w:ascii="Tahoma" w:hAnsi="Tahoma" w:cs="Tahoma"/>
                <w:sz w:val="24"/>
                <w:szCs w:val="24"/>
              </w:rPr>
              <w:t>units. (</w:t>
            </w:r>
            <w:r w:rsidR="003713B7" w:rsidRPr="003713B7">
              <w:rPr>
                <w:rFonts w:ascii="Tahoma" w:hAnsi="Tahoma" w:cs="Tahoma"/>
                <w:b/>
                <w:strike/>
                <w:color w:val="FF0000"/>
                <w:sz w:val="24"/>
                <w:szCs w:val="24"/>
              </w:rPr>
              <w:t>9</w:t>
            </w:r>
            <w:r w:rsidR="003713B7" w:rsidRPr="00DA7328">
              <w:rPr>
                <w:rFonts w:ascii="Tahoma" w:hAnsi="Tahoma" w:cs="Tahoma"/>
                <w:sz w:val="24"/>
                <w:szCs w:val="24"/>
              </w:rPr>
              <w:t xml:space="preserve"> </w:t>
            </w:r>
            <w:r w:rsidR="003713B7" w:rsidRPr="003713B7">
              <w:rPr>
                <w:rFonts w:ascii="Tahoma" w:hAnsi="Tahoma" w:cs="Tahoma"/>
                <w:b/>
                <w:sz w:val="24"/>
                <w:szCs w:val="24"/>
              </w:rPr>
              <w:t>6</w:t>
            </w:r>
            <w:r w:rsidRPr="00DA7328">
              <w:rPr>
                <w:rFonts w:ascii="Tahoma" w:hAnsi="Tahoma" w:cs="Tahoma"/>
                <w:sz w:val="24"/>
                <w:szCs w:val="24"/>
              </w:rPr>
              <w:t xml:space="preserve"> units)</w:t>
            </w:r>
          </w:p>
          <w:p w:rsidR="007F1F43" w:rsidRPr="007F1F43" w:rsidRDefault="007F1F43" w:rsidP="007F1F43">
            <w:pPr>
              <w:pStyle w:val="ListParagraph"/>
              <w:numPr>
                <w:ilvl w:val="0"/>
                <w:numId w:val="27"/>
              </w:numPr>
              <w:rPr>
                <w:rFonts w:ascii="Tahoma" w:hAnsi="Tahoma" w:cs="Tahoma"/>
                <w:b/>
                <w:sz w:val="24"/>
                <w:szCs w:val="24"/>
              </w:rPr>
            </w:pPr>
            <w:r w:rsidRPr="007F1F43">
              <w:rPr>
                <w:rFonts w:ascii="Tahoma" w:hAnsi="Tahoma" w:cs="Tahoma"/>
                <w:b/>
                <w:sz w:val="24"/>
                <w:szCs w:val="24"/>
              </w:rPr>
              <w:t>No more than six</w:t>
            </w:r>
            <w:r>
              <w:rPr>
                <w:rFonts w:ascii="Tahoma" w:hAnsi="Tahoma" w:cs="Tahoma"/>
                <w:b/>
                <w:sz w:val="24"/>
                <w:szCs w:val="24"/>
              </w:rPr>
              <w:t xml:space="preserve"> units of </w:t>
            </w:r>
            <w:r w:rsidRPr="007F1F43">
              <w:rPr>
                <w:rFonts w:ascii="Tahoma" w:hAnsi="Tahoma" w:cs="Tahoma"/>
                <w:b/>
                <w:sz w:val="24"/>
                <w:szCs w:val="24"/>
              </w:rPr>
              <w:t xml:space="preserve">individualized study coursework (HIS    </w:t>
            </w:r>
          </w:p>
          <w:p w:rsidR="007F1F43" w:rsidRPr="003713B7" w:rsidRDefault="007F1F43" w:rsidP="007F1F43">
            <w:pPr>
              <w:rPr>
                <w:rFonts w:ascii="Tahoma" w:hAnsi="Tahoma" w:cs="Tahoma"/>
                <w:b/>
                <w:sz w:val="24"/>
                <w:szCs w:val="24"/>
              </w:rPr>
            </w:pPr>
            <w:r>
              <w:rPr>
                <w:rFonts w:ascii="Tahoma" w:hAnsi="Tahoma" w:cs="Tahoma"/>
                <w:b/>
                <w:sz w:val="24"/>
                <w:szCs w:val="24"/>
              </w:rPr>
              <w:t xml:space="preserve">     </w:t>
            </w:r>
            <w:r w:rsidRPr="003713B7">
              <w:rPr>
                <w:rFonts w:ascii="Tahoma" w:hAnsi="Tahoma" w:cs="Tahoma"/>
                <w:b/>
                <w:sz w:val="24"/>
                <w:szCs w:val="24"/>
              </w:rPr>
              <w:t xml:space="preserve">408, HIS 485, HIS 497) may be used. </w:t>
            </w:r>
          </w:p>
          <w:p w:rsidR="007F1F43" w:rsidRPr="007F1F43" w:rsidRDefault="007F1F43" w:rsidP="007F1F43">
            <w:pPr>
              <w:rPr>
                <w:rFonts w:ascii="Tahoma" w:hAnsi="Tahoma" w:cs="Tahoma"/>
                <w:sz w:val="24"/>
                <w:szCs w:val="24"/>
              </w:rPr>
            </w:pPr>
          </w:p>
          <w:p w:rsidR="001E341A" w:rsidRPr="00DA7328" w:rsidRDefault="001E341A" w:rsidP="001E341A">
            <w:pPr>
              <w:rPr>
                <w:rFonts w:ascii="Tahoma" w:hAnsi="Tahoma" w:cs="Tahoma"/>
                <w:sz w:val="24"/>
                <w:szCs w:val="24"/>
              </w:rPr>
            </w:pPr>
            <w:r w:rsidRPr="00DA7328">
              <w:rPr>
                <w:rFonts w:ascii="Tahoma" w:hAnsi="Tahoma" w:cs="Tahoma"/>
                <w:sz w:val="24"/>
                <w:szCs w:val="24"/>
              </w:rPr>
              <w:t xml:space="preserve">If </w:t>
            </w:r>
            <w:proofErr w:type="gramStart"/>
            <w:r w:rsidRPr="00DA7328">
              <w:rPr>
                <w:rFonts w:ascii="Tahoma" w:hAnsi="Tahoma" w:cs="Tahoma"/>
                <w:sz w:val="24"/>
                <w:szCs w:val="24"/>
              </w:rPr>
              <w:t>your</w:t>
            </w:r>
            <w:proofErr w:type="gramEnd"/>
            <w:r w:rsidRPr="00DA7328">
              <w:rPr>
                <w:rFonts w:ascii="Tahoma" w:hAnsi="Tahoma" w:cs="Tahoma"/>
                <w:sz w:val="24"/>
                <w:szCs w:val="24"/>
              </w:rPr>
              <w:t xml:space="preserve"> major plan requires history courses or allows you to take history courses as part of your major, you may not count these courses as part of your Minor in History.</w:t>
            </w:r>
          </w:p>
          <w:p w:rsidR="001E341A" w:rsidRPr="00DA7328" w:rsidRDefault="001E341A" w:rsidP="001E341A">
            <w:pPr>
              <w:rPr>
                <w:rFonts w:ascii="Tahoma" w:hAnsi="Tahoma" w:cs="Tahoma"/>
                <w:sz w:val="24"/>
                <w:szCs w:val="24"/>
              </w:rPr>
            </w:pPr>
          </w:p>
          <w:p w:rsidR="001E341A" w:rsidRPr="00DA7328" w:rsidRDefault="001E341A" w:rsidP="001E341A">
            <w:pPr>
              <w:rPr>
                <w:rFonts w:ascii="Tahoma" w:hAnsi="Tahoma" w:cs="Tahoma"/>
                <w:sz w:val="24"/>
                <w:szCs w:val="24"/>
              </w:rPr>
            </w:pPr>
            <w:r w:rsidRPr="00DA7328">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r w:rsidR="003713B7" w:rsidTr="00C33312">
        <w:tc>
          <w:tcPr>
            <w:tcW w:w="5598" w:type="dxa"/>
          </w:tcPr>
          <w:p w:rsidR="003713B7" w:rsidRPr="00D45370" w:rsidRDefault="003713B7" w:rsidP="0065207F">
            <w:pPr>
              <w:pStyle w:val="Heading3"/>
              <w:spacing w:line="260" w:lineRule="auto"/>
              <w:outlineLvl w:val="2"/>
              <w:rPr>
                <w:noProof/>
                <w:szCs w:val="24"/>
              </w:rPr>
            </w:pPr>
          </w:p>
        </w:tc>
        <w:tc>
          <w:tcPr>
            <w:tcW w:w="5310" w:type="dxa"/>
          </w:tcPr>
          <w:p w:rsidR="003713B7" w:rsidRPr="0065207F" w:rsidRDefault="003713B7">
            <w:pPr>
              <w:rPr>
                <w:rFonts w:ascii="Arial" w:hAnsi="Arial" w:cs="Arial"/>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93A25" w:rsidRPr="00E93A25" w:rsidRDefault="00E93A25" w:rsidP="00E93A25">
      <w:pPr>
        <w:shd w:val="clear" w:color="auto" w:fill="D9D9D9" w:themeFill="background1" w:themeFillShade="D9"/>
        <w:rPr>
          <w:rFonts w:ascii="Arial" w:hAnsi="Arial" w:cs="Arial"/>
          <w:b/>
          <w:sz w:val="24"/>
          <w:szCs w:val="24"/>
        </w:rPr>
      </w:pPr>
      <w:r w:rsidRPr="00E93A25">
        <w:rPr>
          <w:rFonts w:ascii="Arial" w:hAnsi="Arial" w:cs="Arial"/>
          <w:b/>
          <w:sz w:val="24"/>
          <w:szCs w:val="24"/>
        </w:rPr>
        <w:t>The requirement of “no grade lower than C” strengthens the qualitative standards of the minor. In addition, calibrating this requirement with a similar requirement in the HIS major would make any transition more rational and smooth for any student who may wish to change the minor into a major or a second major in History.</w:t>
      </w:r>
    </w:p>
    <w:p w:rsidR="00E93A25" w:rsidRPr="00E93A25" w:rsidRDefault="00E93A25" w:rsidP="00E93A25">
      <w:pPr>
        <w:shd w:val="clear" w:color="auto" w:fill="D9D9D9" w:themeFill="background1" w:themeFillShade="D9"/>
        <w:rPr>
          <w:rFonts w:ascii="Arial" w:hAnsi="Arial" w:cs="Arial"/>
          <w:b/>
          <w:sz w:val="24"/>
          <w:szCs w:val="24"/>
        </w:rPr>
      </w:pPr>
    </w:p>
    <w:p w:rsidR="00E93A25" w:rsidRPr="00E93A25" w:rsidRDefault="00E93A25" w:rsidP="00E93A25">
      <w:pPr>
        <w:shd w:val="clear" w:color="auto" w:fill="D9D9D9" w:themeFill="background1" w:themeFillShade="D9"/>
        <w:rPr>
          <w:rFonts w:ascii="Arial" w:hAnsi="Arial" w:cs="Arial"/>
          <w:b/>
          <w:sz w:val="24"/>
          <w:szCs w:val="24"/>
        </w:rPr>
      </w:pPr>
      <w:r w:rsidRPr="00E93A25">
        <w:rPr>
          <w:rFonts w:ascii="Arial" w:hAnsi="Arial" w:cs="Arial"/>
          <w:b/>
          <w:sz w:val="24"/>
          <w:szCs w:val="24"/>
        </w:rPr>
        <w:t>400-level HIS courses are discussion-intensive courses with a significant research component. Students in the HIS minor who, und</w:t>
      </w:r>
      <w:r w:rsidR="00AF6B35">
        <w:rPr>
          <w:rFonts w:ascii="Arial" w:hAnsi="Arial" w:cs="Arial"/>
          <w:b/>
          <w:sz w:val="24"/>
          <w:szCs w:val="24"/>
        </w:rPr>
        <w:t>er the previous structure, jump</w:t>
      </w:r>
      <w:r w:rsidRPr="00E93A25">
        <w:rPr>
          <w:rFonts w:ascii="Arial" w:hAnsi="Arial" w:cs="Arial"/>
          <w:b/>
          <w:sz w:val="24"/>
          <w:szCs w:val="24"/>
        </w:rPr>
        <w:t xml:space="preserve"> from 100-200-level HIS courses to the singular 400-level requirement with</w:t>
      </w:r>
      <w:r w:rsidR="00AF6B35">
        <w:rPr>
          <w:rFonts w:ascii="Arial" w:hAnsi="Arial" w:cs="Arial"/>
          <w:b/>
          <w:sz w:val="24"/>
          <w:szCs w:val="24"/>
        </w:rPr>
        <w:t>out any 300-level bridging face</w:t>
      </w:r>
      <w:r w:rsidRPr="00E93A25">
        <w:rPr>
          <w:rFonts w:ascii="Arial" w:hAnsi="Arial" w:cs="Arial"/>
          <w:b/>
          <w:sz w:val="24"/>
          <w:szCs w:val="24"/>
        </w:rPr>
        <w:t xml:space="preserve"> grave difficulties in adapting to the 400-level modalities of learning History and are usually much less successful in the 400-level course, so the old structure or requirements simply has to be changed.  We believe, however, that instead of specifically requiring at least one 300-level (bridging) course and one 400-level course, the current proposal, which would give student flexibility, but require at least two upper-division HIS courses in the minor whereas the former structure required only one, will actually better meet the intended standards of the minor.</w:t>
      </w:r>
    </w:p>
    <w:p w:rsidR="00E93A25" w:rsidRPr="00E93A25" w:rsidRDefault="00E93A25" w:rsidP="00E93A25">
      <w:pPr>
        <w:shd w:val="clear" w:color="auto" w:fill="D9D9D9" w:themeFill="background1" w:themeFillShade="D9"/>
        <w:rPr>
          <w:rFonts w:ascii="Arial" w:hAnsi="Arial" w:cs="Arial"/>
          <w:b/>
          <w:sz w:val="24"/>
          <w:szCs w:val="24"/>
        </w:rPr>
      </w:pPr>
    </w:p>
    <w:p w:rsidR="00E93A25" w:rsidRPr="00E93A25" w:rsidRDefault="00E93A25" w:rsidP="00E93A25">
      <w:pPr>
        <w:shd w:val="clear" w:color="auto" w:fill="D9D9D9" w:themeFill="background1" w:themeFillShade="D9"/>
        <w:rPr>
          <w:rFonts w:asciiTheme="minorHAnsi" w:hAnsiTheme="minorHAnsi" w:cs="Arial"/>
          <w:b/>
          <w:sz w:val="24"/>
          <w:szCs w:val="24"/>
        </w:rPr>
      </w:pPr>
      <w:r w:rsidRPr="00E93A25">
        <w:rPr>
          <w:rFonts w:ascii="Arial" w:hAnsi="Arial" w:cs="Arial"/>
          <w:b/>
          <w:sz w:val="24"/>
          <w:szCs w:val="24"/>
        </w:rPr>
        <w:t xml:space="preserve">The </w:t>
      </w:r>
      <w:r w:rsidR="00896590">
        <w:rPr>
          <w:rFonts w:ascii="Arial" w:hAnsi="Arial" w:cs="Arial"/>
          <w:b/>
          <w:sz w:val="24"/>
          <w:szCs w:val="24"/>
        </w:rPr>
        <w:t xml:space="preserve">purpose of the proposed </w:t>
      </w:r>
      <w:r w:rsidRPr="00E93A25">
        <w:rPr>
          <w:rFonts w:ascii="Arial" w:hAnsi="Arial" w:cs="Arial"/>
          <w:b/>
          <w:sz w:val="24"/>
          <w:szCs w:val="24"/>
        </w:rPr>
        <w:t xml:space="preserve">limitation regarding using individualized studies credits in the minor is </w:t>
      </w:r>
      <w:r w:rsidR="00896590">
        <w:rPr>
          <w:rFonts w:ascii="Arial" w:hAnsi="Arial" w:cs="Arial"/>
          <w:b/>
          <w:sz w:val="24"/>
          <w:szCs w:val="24"/>
        </w:rPr>
        <w:t>to ensure that HIS minors gain a learning experience in the fie</w:t>
      </w:r>
      <w:r w:rsidR="00D20548">
        <w:rPr>
          <w:rFonts w:ascii="Arial" w:hAnsi="Arial" w:cs="Arial"/>
          <w:b/>
          <w:sz w:val="24"/>
          <w:szCs w:val="24"/>
        </w:rPr>
        <w:t>ld of history that reflects to a reasonable extent the breadth of the subject of history and of the NAU History Department’s curriculum commensurate with the scope of the minor (which is already narrower than that of a major</w:t>
      </w:r>
      <w:r w:rsidRPr="00E93A25">
        <w:rPr>
          <w:rFonts w:ascii="Arial" w:hAnsi="Arial" w:cs="Arial"/>
          <w:b/>
          <w:sz w:val="24"/>
          <w:szCs w:val="24"/>
        </w:rPr>
        <w:t>.</w:t>
      </w:r>
      <w:r w:rsidR="00D20548">
        <w:rPr>
          <w:rFonts w:ascii="Arial" w:hAnsi="Arial" w:cs="Arial"/>
          <w:b/>
          <w:sz w:val="24"/>
          <w:szCs w:val="24"/>
        </w:rPr>
        <w:t>)</w:t>
      </w:r>
    </w:p>
    <w:p w:rsidR="00C3660C" w:rsidRDefault="00C3660C"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D70E33" w:rsidP="002B1A53">
            <w:pPr>
              <w:jc w:val="center"/>
            </w:pPr>
            <w:r>
              <w:rPr>
                <w:rFonts w:ascii="Arial" w:hAnsi="Arial" w:cs="Arial"/>
                <w:sz w:val="24"/>
                <w:szCs w:val="24"/>
              </w:rPr>
              <w:fldChar w:fldCharType="begin">
                <w:ffData>
                  <w:name w:val=""/>
                  <w:enabled/>
                  <w:calcOnExit w:val="0"/>
                  <w:checkBox>
                    <w:sizeAuto/>
                    <w:default w:val="0"/>
                  </w:checkBox>
                </w:ffData>
              </w:fldChar>
            </w:r>
            <w:r w:rsidR="001E341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D70E3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D70E3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D70E33">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D70E33">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D70E33">
        <w:rPr>
          <w:rFonts w:ascii="Arial" w:hAnsi="Arial" w:cs="Arial"/>
          <w:sz w:val="24"/>
          <w:szCs w:val="24"/>
        </w:rPr>
        <w:fldChar w:fldCharType="begin">
          <w:ffData>
            <w:name w:val=""/>
            <w:enabled/>
            <w:calcOnExit w:val="0"/>
            <w:checkBox>
              <w:sizeAuto/>
              <w:default w:val="0"/>
            </w:checkBox>
          </w:ffData>
        </w:fldChar>
      </w:r>
      <w:r w:rsidR="009803E6">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Pr>
          <w:rFonts w:ascii="Arial" w:hAnsi="Arial" w:cs="Arial"/>
          <w:sz w:val="24"/>
          <w:szCs w:val="24"/>
        </w:rPr>
        <w:fldChar w:fldCharType="end"/>
      </w:r>
      <w:r w:rsidRPr="002B1A53">
        <w:rPr>
          <w:rFonts w:ascii="Arial" w:hAnsi="Arial" w:cs="Arial"/>
          <w:sz w:val="24"/>
          <w:szCs w:val="24"/>
        </w:rPr>
        <w:t xml:space="preserve">      No </w:t>
      </w:r>
      <w:r w:rsidR="00D70E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D70E33">
        <w:rPr>
          <w:rFonts w:ascii="Arial" w:hAnsi="Arial" w:cs="Arial"/>
          <w:sz w:val="24"/>
          <w:szCs w:val="24"/>
        </w:rPr>
        <w:fldChar w:fldCharType="begin">
          <w:ffData>
            <w:name w:val=""/>
            <w:enabled/>
            <w:calcOnExit w:val="0"/>
            <w:checkBox>
              <w:sizeAuto/>
              <w:default w:val="1"/>
            </w:checkBox>
          </w:ffData>
        </w:fldChar>
      </w:r>
      <w:r w:rsidR="009803E6">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Pr>
          <w:rFonts w:ascii="Arial" w:hAnsi="Arial" w:cs="Arial"/>
          <w:sz w:val="24"/>
          <w:szCs w:val="24"/>
        </w:rPr>
        <w:fldChar w:fldCharType="end"/>
      </w:r>
      <w:r w:rsidRPr="002B1A53">
        <w:rPr>
          <w:rFonts w:ascii="Arial" w:hAnsi="Arial" w:cs="Arial"/>
          <w:sz w:val="24"/>
          <w:szCs w:val="24"/>
        </w:rPr>
        <w:t xml:space="preserve">      No </w:t>
      </w:r>
      <w:r w:rsidR="00D70E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D70E3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2B1A53">
        <w:rPr>
          <w:rFonts w:ascii="Arial" w:hAnsi="Arial" w:cs="Arial"/>
          <w:sz w:val="24"/>
          <w:szCs w:val="24"/>
        </w:rPr>
        <w:fldChar w:fldCharType="end"/>
      </w:r>
      <w:r w:rsidRPr="002B1A53">
        <w:rPr>
          <w:rFonts w:ascii="Arial" w:hAnsi="Arial" w:cs="Arial"/>
          <w:sz w:val="24"/>
          <w:szCs w:val="24"/>
        </w:rPr>
        <w:t xml:space="preserve">      No </w:t>
      </w:r>
      <w:r w:rsidR="00D70E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8E5F61">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D70E3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2B1A53">
        <w:rPr>
          <w:rFonts w:ascii="Arial" w:hAnsi="Arial" w:cs="Arial"/>
          <w:sz w:val="24"/>
          <w:szCs w:val="24"/>
        </w:rPr>
        <w:fldChar w:fldCharType="end"/>
      </w:r>
      <w:r w:rsidRPr="002B1A53">
        <w:rPr>
          <w:rFonts w:ascii="Arial" w:hAnsi="Arial" w:cs="Arial"/>
          <w:sz w:val="24"/>
          <w:szCs w:val="24"/>
        </w:rPr>
        <w:t xml:space="preserve">      No </w:t>
      </w:r>
      <w:r w:rsidR="00D70E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1E341A" w:rsidP="00786BA0">
            <w:pPr>
              <w:rPr>
                <w:rFonts w:ascii="Arial" w:hAnsi="Arial" w:cs="Arial"/>
                <w:b/>
                <w:sz w:val="24"/>
                <w:szCs w:val="24"/>
              </w:rPr>
            </w:pPr>
            <w:r>
              <w:rPr>
                <w:rFonts w:ascii="Arial" w:hAnsi="Arial" w:cs="Arial"/>
                <w:b/>
                <w:sz w:val="24"/>
                <w:szCs w:val="24"/>
              </w:rPr>
              <w:t>1</w:t>
            </w:r>
            <w:r w:rsidR="00786BA0">
              <w:rPr>
                <w:rFonts w:ascii="Arial" w:hAnsi="Arial" w:cs="Arial"/>
                <w:b/>
                <w:sz w:val="24"/>
                <w:szCs w:val="24"/>
              </w:rPr>
              <w:t>2/5</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1A3061" w:rsidTr="00344D10">
        <w:tc>
          <w:tcPr>
            <w:tcW w:w="9018" w:type="dxa"/>
            <w:tcBorders>
              <w:bottom w:val="single" w:sz="4" w:space="0" w:color="auto"/>
            </w:tcBorders>
            <w:shd w:val="clear" w:color="auto" w:fill="DDD9C3" w:themeFill="background2" w:themeFillShade="E6"/>
          </w:tcPr>
          <w:p w:rsidR="001A3061" w:rsidRDefault="001A3061" w:rsidP="00BE4EE9"/>
        </w:tc>
        <w:tc>
          <w:tcPr>
            <w:tcW w:w="1980" w:type="dxa"/>
            <w:tcBorders>
              <w:bottom w:val="single" w:sz="4" w:space="0" w:color="auto"/>
            </w:tcBorders>
            <w:shd w:val="clear" w:color="auto" w:fill="DDD9C3" w:themeFill="background2" w:themeFillShade="E6"/>
          </w:tcPr>
          <w:p w:rsidR="001A3061" w:rsidRDefault="001A3061" w:rsidP="00BE4EE9"/>
        </w:tc>
      </w:tr>
      <w:tr w:rsidR="001A3061" w:rsidTr="00344D10">
        <w:tc>
          <w:tcPr>
            <w:tcW w:w="9018" w:type="dxa"/>
            <w:tcBorders>
              <w:top w:val="single" w:sz="4" w:space="0" w:color="auto"/>
            </w:tcBorders>
            <w:shd w:val="clear" w:color="auto" w:fill="DDD9C3" w:themeFill="background2" w:themeFillShade="E6"/>
          </w:tcPr>
          <w:p w:rsidR="001A3061" w:rsidRDefault="001A3061"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A3061" w:rsidRDefault="001A3061" w:rsidP="00344D10">
            <w:pPr>
              <w:rPr>
                <w:rFonts w:ascii="Arial" w:hAnsi="Arial" w:cs="Arial"/>
                <w:sz w:val="24"/>
                <w:szCs w:val="24"/>
              </w:rPr>
            </w:pPr>
            <w:r w:rsidRPr="00B45DCE">
              <w:rPr>
                <w:rFonts w:ascii="Arial" w:hAnsi="Arial" w:cs="Arial"/>
                <w:sz w:val="24"/>
                <w:szCs w:val="24"/>
              </w:rPr>
              <w:t>Date</w:t>
            </w:r>
          </w:p>
          <w:p w:rsidR="001A3061" w:rsidRDefault="001A3061" w:rsidP="00344D10"/>
        </w:tc>
      </w:tr>
      <w:tr w:rsidR="001A3061" w:rsidTr="00344D10">
        <w:tc>
          <w:tcPr>
            <w:tcW w:w="9018" w:type="dxa"/>
            <w:tcBorders>
              <w:bottom w:val="single" w:sz="4" w:space="0" w:color="auto"/>
            </w:tcBorders>
            <w:shd w:val="clear" w:color="auto" w:fill="DDD9C3" w:themeFill="background2" w:themeFillShade="E6"/>
          </w:tcPr>
          <w:p w:rsidR="001A3061" w:rsidRDefault="001A3061" w:rsidP="00BE4EE9"/>
        </w:tc>
        <w:tc>
          <w:tcPr>
            <w:tcW w:w="1980" w:type="dxa"/>
            <w:tcBorders>
              <w:bottom w:val="single" w:sz="4" w:space="0" w:color="auto"/>
            </w:tcBorders>
            <w:shd w:val="clear" w:color="auto" w:fill="DDD9C3" w:themeFill="background2" w:themeFillShade="E6"/>
          </w:tcPr>
          <w:p w:rsidR="001A3061" w:rsidRDefault="001A3061" w:rsidP="00BE4EE9"/>
        </w:tc>
      </w:tr>
      <w:tr w:rsidR="001A3061" w:rsidTr="00344D10">
        <w:tc>
          <w:tcPr>
            <w:tcW w:w="9018" w:type="dxa"/>
            <w:tcBorders>
              <w:top w:val="single" w:sz="4" w:space="0" w:color="auto"/>
            </w:tcBorders>
            <w:shd w:val="clear" w:color="auto" w:fill="DDD9C3" w:themeFill="background2" w:themeFillShade="E6"/>
          </w:tcPr>
          <w:p w:rsidR="001A3061" w:rsidRDefault="001A3061"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A3061" w:rsidRDefault="001A3061" w:rsidP="00344D10">
            <w:r w:rsidRPr="00B45DCE">
              <w:rPr>
                <w:rFonts w:ascii="Arial" w:hAnsi="Arial" w:cs="Arial"/>
                <w:sz w:val="24"/>
                <w:szCs w:val="24"/>
              </w:rPr>
              <w:t>Date</w:t>
            </w:r>
          </w:p>
        </w:tc>
      </w:tr>
      <w:tr w:rsidR="001A3061" w:rsidTr="00344D10">
        <w:tc>
          <w:tcPr>
            <w:tcW w:w="9018" w:type="dxa"/>
            <w:shd w:val="clear" w:color="auto" w:fill="DDD9C3" w:themeFill="background2" w:themeFillShade="E6"/>
          </w:tcPr>
          <w:p w:rsidR="001A3061" w:rsidRDefault="001A3061" w:rsidP="00344D10"/>
          <w:p w:rsidR="001A3061" w:rsidRDefault="001A3061" w:rsidP="00344D10"/>
        </w:tc>
        <w:tc>
          <w:tcPr>
            <w:tcW w:w="1980" w:type="dxa"/>
            <w:shd w:val="clear" w:color="auto" w:fill="DDD9C3" w:themeFill="background2" w:themeFillShade="E6"/>
          </w:tcPr>
          <w:p w:rsidR="001A3061" w:rsidRDefault="001A3061" w:rsidP="00344D10"/>
        </w:tc>
      </w:tr>
      <w:tr w:rsidR="001A3061" w:rsidTr="00344D10">
        <w:tc>
          <w:tcPr>
            <w:tcW w:w="9018" w:type="dxa"/>
            <w:shd w:val="clear" w:color="auto" w:fill="DDD9C3" w:themeFill="background2" w:themeFillShade="E6"/>
          </w:tcPr>
          <w:p w:rsidR="001A3061" w:rsidRDefault="001A3061"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A3061" w:rsidRDefault="001A3061" w:rsidP="00344D10"/>
        </w:tc>
        <w:tc>
          <w:tcPr>
            <w:tcW w:w="1980" w:type="dxa"/>
            <w:shd w:val="clear" w:color="auto" w:fill="DDD9C3" w:themeFill="background2" w:themeFillShade="E6"/>
          </w:tcPr>
          <w:p w:rsidR="001A3061" w:rsidRDefault="001A3061" w:rsidP="00344D10"/>
        </w:tc>
      </w:tr>
      <w:tr w:rsidR="001A3061" w:rsidTr="00344D10">
        <w:tc>
          <w:tcPr>
            <w:tcW w:w="9018" w:type="dxa"/>
            <w:tcBorders>
              <w:bottom w:val="single" w:sz="4" w:space="0" w:color="auto"/>
            </w:tcBorders>
            <w:shd w:val="clear" w:color="auto" w:fill="DDD9C3" w:themeFill="background2" w:themeFillShade="E6"/>
          </w:tcPr>
          <w:p w:rsidR="001A3061" w:rsidRDefault="001A3061" w:rsidP="00344D10"/>
        </w:tc>
        <w:tc>
          <w:tcPr>
            <w:tcW w:w="1980" w:type="dxa"/>
            <w:tcBorders>
              <w:bottom w:val="single" w:sz="4" w:space="0" w:color="auto"/>
            </w:tcBorders>
            <w:shd w:val="clear" w:color="auto" w:fill="DDD9C3" w:themeFill="background2" w:themeFillShade="E6"/>
          </w:tcPr>
          <w:p w:rsidR="001A3061" w:rsidRDefault="001A3061" w:rsidP="00344D10"/>
        </w:tc>
      </w:tr>
      <w:tr w:rsidR="001A3061" w:rsidTr="00344D10">
        <w:tc>
          <w:tcPr>
            <w:tcW w:w="9018" w:type="dxa"/>
            <w:tcBorders>
              <w:top w:val="single" w:sz="4" w:space="0" w:color="auto"/>
            </w:tcBorders>
            <w:shd w:val="clear" w:color="auto" w:fill="DDD9C3" w:themeFill="background2" w:themeFillShade="E6"/>
          </w:tcPr>
          <w:p w:rsidR="001A3061" w:rsidRDefault="001A3061"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A3061" w:rsidRDefault="001A3061" w:rsidP="00344D10">
            <w:pPr>
              <w:rPr>
                <w:rFonts w:ascii="Arial" w:hAnsi="Arial" w:cs="Arial"/>
                <w:sz w:val="24"/>
                <w:szCs w:val="24"/>
              </w:rPr>
            </w:pPr>
            <w:r w:rsidRPr="00B45DCE">
              <w:rPr>
                <w:rFonts w:ascii="Arial" w:hAnsi="Arial" w:cs="Arial"/>
                <w:sz w:val="24"/>
                <w:szCs w:val="24"/>
              </w:rPr>
              <w:t>Date</w:t>
            </w:r>
          </w:p>
          <w:p w:rsidR="001A3061" w:rsidRDefault="001A3061"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70E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r w:rsidRPr="00313AE8">
        <w:rPr>
          <w:rFonts w:ascii="Arial" w:hAnsi="Arial" w:cs="Arial"/>
          <w:sz w:val="24"/>
          <w:szCs w:val="24"/>
        </w:rPr>
        <w:t xml:space="preserve">     No  </w:t>
      </w:r>
      <w:r w:rsidR="00D70E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70E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70E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70E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r w:rsidRPr="00313AE8">
        <w:rPr>
          <w:rFonts w:ascii="Arial" w:hAnsi="Arial" w:cs="Arial"/>
          <w:sz w:val="24"/>
          <w:szCs w:val="24"/>
        </w:rPr>
        <w:t xml:space="preserve">     No  </w:t>
      </w:r>
      <w:r w:rsidR="00D70E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70E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70E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70E33">
        <w:rPr>
          <w:rFonts w:ascii="Arial" w:hAnsi="Arial" w:cs="Arial"/>
          <w:sz w:val="24"/>
          <w:szCs w:val="24"/>
        </w:rPr>
      </w:r>
      <w:r w:rsidR="00D70E33">
        <w:rPr>
          <w:rFonts w:ascii="Arial" w:hAnsi="Arial" w:cs="Arial"/>
          <w:sz w:val="24"/>
          <w:szCs w:val="24"/>
        </w:rPr>
        <w:fldChar w:fldCharType="separate"/>
      </w:r>
      <w:r w:rsidR="00D70E33" w:rsidRPr="00313AE8">
        <w:rPr>
          <w:rFonts w:ascii="Arial" w:hAnsi="Arial" w:cs="Arial"/>
          <w:sz w:val="24"/>
          <w:szCs w:val="24"/>
        </w:rPr>
        <w:fldChar w:fldCharType="end"/>
      </w:r>
    </w:p>
    <w:sectPr w:rsidR="00350A98"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47" w:rsidRDefault="00B01747" w:rsidP="00233561">
      <w:r>
        <w:separator/>
      </w:r>
    </w:p>
  </w:endnote>
  <w:endnote w:type="continuationSeparator" w:id="0">
    <w:p w:rsidR="00B01747" w:rsidRDefault="00B0174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CA" w:rsidRDefault="00D70E33">
    <w:pPr>
      <w:pStyle w:val="Footer"/>
    </w:pPr>
    <w:r>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A39CA">
      <w:rPr>
        <w:color w:val="4F81BD" w:themeColor="accent1"/>
      </w:rPr>
      <w:t>Effective Fall 2013</w:t>
    </w: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47" w:rsidRDefault="00B01747" w:rsidP="00233561">
      <w:r>
        <w:separator/>
      </w:r>
    </w:p>
  </w:footnote>
  <w:footnote w:type="continuationSeparator" w:id="0">
    <w:p w:rsidR="00B01747" w:rsidRDefault="00B0174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46127B"/>
    <w:multiLevelType w:val="hybridMultilevel"/>
    <w:tmpl w:val="4440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575394"/>
    <w:multiLevelType w:val="hybridMultilevel"/>
    <w:tmpl w:val="5DD89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21"/>
  </w:num>
  <w:num w:numId="4">
    <w:abstractNumId w:val="19"/>
  </w:num>
  <w:num w:numId="5">
    <w:abstractNumId w:val="17"/>
  </w:num>
  <w:num w:numId="6">
    <w:abstractNumId w:val="0"/>
  </w:num>
  <w:num w:numId="7">
    <w:abstractNumId w:val="13"/>
  </w:num>
  <w:num w:numId="8">
    <w:abstractNumId w:val="3"/>
  </w:num>
  <w:num w:numId="9">
    <w:abstractNumId w:val="1"/>
  </w:num>
  <w:num w:numId="10">
    <w:abstractNumId w:val="18"/>
  </w:num>
  <w:num w:numId="11">
    <w:abstractNumId w:val="20"/>
  </w:num>
  <w:num w:numId="12">
    <w:abstractNumId w:val="2"/>
  </w:num>
  <w:num w:numId="13">
    <w:abstractNumId w:val="14"/>
  </w:num>
  <w:num w:numId="14">
    <w:abstractNumId w:val="15"/>
  </w:num>
  <w:num w:numId="15">
    <w:abstractNumId w:val="6"/>
  </w:num>
  <w:num w:numId="16">
    <w:abstractNumId w:val="24"/>
  </w:num>
  <w:num w:numId="17">
    <w:abstractNumId w:val="23"/>
  </w:num>
  <w:num w:numId="18">
    <w:abstractNumId w:val="25"/>
  </w:num>
  <w:num w:numId="19">
    <w:abstractNumId w:val="16"/>
  </w:num>
  <w:num w:numId="20">
    <w:abstractNumId w:val="5"/>
  </w:num>
  <w:num w:numId="21">
    <w:abstractNumId w:val="26"/>
  </w:num>
  <w:num w:numId="22">
    <w:abstractNumId w:val="8"/>
  </w:num>
  <w:num w:numId="23">
    <w:abstractNumId w:val="12"/>
  </w:num>
  <w:num w:numId="24">
    <w:abstractNumId w:val="11"/>
  </w:num>
  <w:num w:numId="25">
    <w:abstractNumId w:val="9"/>
  </w:num>
  <w:num w:numId="26">
    <w:abstractNumId w:val="10"/>
  </w:num>
  <w:num w:numId="27">
    <w:abstractNumId w:val="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76C8"/>
    <w:rsid w:val="00041842"/>
    <w:rsid w:val="000514D4"/>
    <w:rsid w:val="00051D13"/>
    <w:rsid w:val="00083DF5"/>
    <w:rsid w:val="000A3ADE"/>
    <w:rsid w:val="000B2CE9"/>
    <w:rsid w:val="000D0D4F"/>
    <w:rsid w:val="000F4823"/>
    <w:rsid w:val="00103A43"/>
    <w:rsid w:val="00111B8E"/>
    <w:rsid w:val="00146941"/>
    <w:rsid w:val="00165B49"/>
    <w:rsid w:val="00167158"/>
    <w:rsid w:val="001A02A7"/>
    <w:rsid w:val="001A3061"/>
    <w:rsid w:val="001E341A"/>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713B7"/>
    <w:rsid w:val="003840CC"/>
    <w:rsid w:val="003A6967"/>
    <w:rsid w:val="003D017F"/>
    <w:rsid w:val="003D59D8"/>
    <w:rsid w:val="00400980"/>
    <w:rsid w:val="00430E14"/>
    <w:rsid w:val="00436EBF"/>
    <w:rsid w:val="00440707"/>
    <w:rsid w:val="00444B12"/>
    <w:rsid w:val="004652CE"/>
    <w:rsid w:val="00475E81"/>
    <w:rsid w:val="004A4315"/>
    <w:rsid w:val="004F3222"/>
    <w:rsid w:val="004F7394"/>
    <w:rsid w:val="0050399D"/>
    <w:rsid w:val="00504F93"/>
    <w:rsid w:val="00513592"/>
    <w:rsid w:val="00523703"/>
    <w:rsid w:val="00527409"/>
    <w:rsid w:val="00552434"/>
    <w:rsid w:val="005735CD"/>
    <w:rsid w:val="0058038B"/>
    <w:rsid w:val="005A52A5"/>
    <w:rsid w:val="005C46C1"/>
    <w:rsid w:val="005C7D6A"/>
    <w:rsid w:val="005E15CA"/>
    <w:rsid w:val="005E4D2D"/>
    <w:rsid w:val="005E5238"/>
    <w:rsid w:val="005E7003"/>
    <w:rsid w:val="0062365E"/>
    <w:rsid w:val="0065207F"/>
    <w:rsid w:val="006A3149"/>
    <w:rsid w:val="006C069B"/>
    <w:rsid w:val="006F05DF"/>
    <w:rsid w:val="006F14EB"/>
    <w:rsid w:val="006F5FFA"/>
    <w:rsid w:val="006F7681"/>
    <w:rsid w:val="00716ABB"/>
    <w:rsid w:val="00753AFA"/>
    <w:rsid w:val="00761DF6"/>
    <w:rsid w:val="0077023D"/>
    <w:rsid w:val="00786BA0"/>
    <w:rsid w:val="007A1971"/>
    <w:rsid w:val="007A45A6"/>
    <w:rsid w:val="007D1975"/>
    <w:rsid w:val="007D1B84"/>
    <w:rsid w:val="007F1F43"/>
    <w:rsid w:val="00811C35"/>
    <w:rsid w:val="00813CBA"/>
    <w:rsid w:val="0081690C"/>
    <w:rsid w:val="00893A71"/>
    <w:rsid w:val="00896590"/>
    <w:rsid w:val="008E5F61"/>
    <w:rsid w:val="008F40EF"/>
    <w:rsid w:val="008F62B2"/>
    <w:rsid w:val="00910769"/>
    <w:rsid w:val="009213C1"/>
    <w:rsid w:val="009428E5"/>
    <w:rsid w:val="009565C5"/>
    <w:rsid w:val="00967B62"/>
    <w:rsid w:val="00971F61"/>
    <w:rsid w:val="00977A58"/>
    <w:rsid w:val="009803E6"/>
    <w:rsid w:val="009857E6"/>
    <w:rsid w:val="009B3949"/>
    <w:rsid w:val="009C1083"/>
    <w:rsid w:val="009C1339"/>
    <w:rsid w:val="009C2C3E"/>
    <w:rsid w:val="009C75F7"/>
    <w:rsid w:val="009E78C9"/>
    <w:rsid w:val="009F68B1"/>
    <w:rsid w:val="00A40DC3"/>
    <w:rsid w:val="00A9284E"/>
    <w:rsid w:val="00AA5472"/>
    <w:rsid w:val="00AB7DBA"/>
    <w:rsid w:val="00AD50F2"/>
    <w:rsid w:val="00AD6D73"/>
    <w:rsid w:val="00AF6B35"/>
    <w:rsid w:val="00B01747"/>
    <w:rsid w:val="00B079BE"/>
    <w:rsid w:val="00B841EA"/>
    <w:rsid w:val="00BA27EA"/>
    <w:rsid w:val="00BA55E7"/>
    <w:rsid w:val="00BB2CF6"/>
    <w:rsid w:val="00BE0E14"/>
    <w:rsid w:val="00C33312"/>
    <w:rsid w:val="00C3660C"/>
    <w:rsid w:val="00C42CC0"/>
    <w:rsid w:val="00C56713"/>
    <w:rsid w:val="00C56A0D"/>
    <w:rsid w:val="00C6101A"/>
    <w:rsid w:val="00CA6369"/>
    <w:rsid w:val="00CD7A67"/>
    <w:rsid w:val="00CE4E0C"/>
    <w:rsid w:val="00CE6670"/>
    <w:rsid w:val="00CF30DD"/>
    <w:rsid w:val="00D1166C"/>
    <w:rsid w:val="00D20548"/>
    <w:rsid w:val="00D27B18"/>
    <w:rsid w:val="00D45370"/>
    <w:rsid w:val="00D633D3"/>
    <w:rsid w:val="00D70E33"/>
    <w:rsid w:val="00D80211"/>
    <w:rsid w:val="00D928DB"/>
    <w:rsid w:val="00DA02C7"/>
    <w:rsid w:val="00DC70F6"/>
    <w:rsid w:val="00DD1AD9"/>
    <w:rsid w:val="00DF51D6"/>
    <w:rsid w:val="00DF6505"/>
    <w:rsid w:val="00E3390A"/>
    <w:rsid w:val="00E93A25"/>
    <w:rsid w:val="00E93E74"/>
    <w:rsid w:val="00EA38F7"/>
    <w:rsid w:val="00EC2DDE"/>
    <w:rsid w:val="00EC2F62"/>
    <w:rsid w:val="00EE0213"/>
    <w:rsid w:val="00EE2807"/>
    <w:rsid w:val="00F013A5"/>
    <w:rsid w:val="00F04E14"/>
    <w:rsid w:val="00F1711F"/>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1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E777-DAC3-49F3-BDC9-7638DF1B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2013-11-21T01:00:00Z</dcterms:created>
  <dcterms:modified xsi:type="dcterms:W3CDTF">2013-12-06T02:46:00Z</dcterms:modified>
</cp:coreProperties>
</file>