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32C9B"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511D6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D13507" w:rsidP="00511D6E">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D13507" w:rsidP="00120D34">
            <w:pPr>
              <w:rPr>
                <w:rFonts w:ascii="Arial" w:hAnsi="Arial" w:cs="Arial"/>
                <w:b/>
                <w:sz w:val="24"/>
                <w:szCs w:val="24"/>
              </w:rPr>
            </w:pPr>
            <w:r>
              <w:rPr>
                <w:rFonts w:ascii="Arial" w:hAnsi="Arial" w:cs="Arial"/>
                <w:b/>
                <w:sz w:val="24"/>
                <w:szCs w:val="24"/>
              </w:rPr>
              <w:t>Nursing</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D13507" w:rsidP="00D13507">
            <w:pPr>
              <w:rPr>
                <w:rFonts w:ascii="Arial" w:hAnsi="Arial" w:cs="Arial"/>
                <w:b/>
                <w:sz w:val="24"/>
                <w:szCs w:val="24"/>
              </w:rPr>
            </w:pPr>
            <w:r>
              <w:rPr>
                <w:rFonts w:ascii="Arial" w:hAnsi="Arial" w:cs="Arial"/>
                <w:b/>
                <w:sz w:val="24"/>
                <w:szCs w:val="24"/>
              </w:rPr>
              <w:t xml:space="preserve">Nursing-Traditional; B.S.N. </w:t>
            </w:r>
            <w:r w:rsidR="00511D6E">
              <w:rPr>
                <w:rFonts w:ascii="Arial" w:hAnsi="Arial" w:cs="Arial"/>
                <w:b/>
                <w:sz w:val="24"/>
                <w:szCs w:val="24"/>
              </w:rPr>
              <w:t xml:space="preserve"> </w:t>
            </w:r>
            <w:r w:rsidR="006A5DE7">
              <w:rPr>
                <w:rFonts w:ascii="Arial" w:hAnsi="Arial" w:cs="Arial"/>
                <w:b/>
                <w:sz w:val="24"/>
                <w:szCs w:val="24"/>
              </w:rPr>
              <w:t>(</w:t>
            </w:r>
            <w:r>
              <w:rPr>
                <w:rFonts w:ascii="Arial" w:hAnsi="Arial" w:cs="Arial"/>
                <w:b/>
                <w:sz w:val="24"/>
                <w:szCs w:val="24"/>
              </w:rPr>
              <w:t>NURBSNX</w:t>
            </w:r>
            <w:r w:rsidR="006A5DE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32C9B"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32C9B"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32C9B"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32C9B"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32C9B"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FF22C9" w:rsidRDefault="00FF22C9" w:rsidP="00F570EA">
            <w:pPr>
              <w:rPr>
                <w:rFonts w:ascii="Arial" w:hAnsi="Arial" w:cs="Arial"/>
                <w:b/>
                <w:sz w:val="24"/>
                <w:szCs w:val="24"/>
              </w:rPr>
            </w:pPr>
          </w:p>
          <w:p w:rsidR="00FF22C9" w:rsidRPr="00FF22C9" w:rsidRDefault="00FF22C9" w:rsidP="00FF22C9">
            <w:pPr>
              <w:spacing w:line="276" w:lineRule="auto"/>
              <w:rPr>
                <w:rFonts w:ascii="Arial" w:hAnsi="Arial" w:cs="Arial"/>
                <w:sz w:val="24"/>
                <w:szCs w:val="24"/>
              </w:rPr>
            </w:pPr>
            <w:r w:rsidRPr="00FF22C9">
              <w:rPr>
                <w:rFonts w:ascii="Arial" w:hAnsi="Arial" w:cs="Arial"/>
                <w:sz w:val="24"/>
                <w:szCs w:val="24"/>
              </w:rPr>
              <w:t>Clinical Practice and Prevention</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Integrates theory, evidence, professional perspectives, and patient preferences into clinical judgment to provide holistic patient-centered care across the lifespan and healthcare continuum, and in healthcare environments.</w:t>
            </w:r>
          </w:p>
          <w:p w:rsidR="00FF22C9" w:rsidRPr="00FF22C9" w:rsidRDefault="00FF22C9" w:rsidP="00FF22C9">
            <w:pPr>
              <w:spacing w:line="276" w:lineRule="auto"/>
              <w:rPr>
                <w:rFonts w:ascii="Arial" w:hAnsi="Arial" w:cs="Arial"/>
                <w:sz w:val="24"/>
                <w:szCs w:val="24"/>
              </w:rPr>
            </w:pPr>
            <w:r w:rsidRPr="00FF22C9">
              <w:rPr>
                <w:rFonts w:ascii="Arial" w:hAnsi="Arial" w:cs="Arial"/>
                <w:sz w:val="24"/>
                <w:szCs w:val="24"/>
              </w:rPr>
              <w:t>Communication</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Incorporates effective communication into professional nursing practice.</w:t>
            </w:r>
          </w:p>
          <w:p w:rsidR="00FF22C9" w:rsidRPr="00FF22C9" w:rsidRDefault="00FF22C9" w:rsidP="00FF22C9">
            <w:pPr>
              <w:spacing w:line="276" w:lineRule="auto"/>
              <w:rPr>
                <w:rFonts w:ascii="Arial" w:hAnsi="Arial" w:cs="Arial"/>
                <w:sz w:val="24"/>
                <w:szCs w:val="24"/>
              </w:rPr>
            </w:pPr>
            <w:r w:rsidRPr="00FF22C9">
              <w:rPr>
                <w:rFonts w:ascii="Arial" w:hAnsi="Arial" w:cs="Arial"/>
                <w:sz w:val="24"/>
                <w:szCs w:val="24"/>
              </w:rPr>
              <w:lastRenderedPageBreak/>
              <w:t>Critical reasoning</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Synthesizes evidence and nursing knowledge to evaluate and modify clinical nursing practice, in order to provide holistic, safe, comprehensive, patient-centered care.</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Integrates reliable evidence from multiple ways of knowing to inform practice and make clinical judgments.</w:t>
            </w:r>
          </w:p>
          <w:p w:rsidR="00FF22C9" w:rsidRPr="00FF22C9" w:rsidRDefault="00FF22C9" w:rsidP="00FF22C9">
            <w:pPr>
              <w:spacing w:line="276" w:lineRule="auto"/>
              <w:rPr>
                <w:rFonts w:ascii="Arial" w:hAnsi="Arial" w:cs="Arial"/>
                <w:sz w:val="24"/>
                <w:szCs w:val="24"/>
              </w:rPr>
            </w:pPr>
            <w:r w:rsidRPr="00FF22C9">
              <w:rPr>
                <w:rFonts w:ascii="Arial" w:hAnsi="Arial" w:cs="Arial"/>
                <w:sz w:val="24"/>
                <w:szCs w:val="24"/>
              </w:rPr>
              <w:t>Leadership</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Integrates knowledge and skills in leadership, quality improvement, health care policy and patient safety into practice to provide high quality care.</w:t>
            </w:r>
          </w:p>
          <w:p w:rsidR="00FF22C9" w:rsidRPr="00FF22C9" w:rsidRDefault="00FF22C9" w:rsidP="00FF22C9">
            <w:pPr>
              <w:spacing w:line="276" w:lineRule="auto"/>
              <w:rPr>
                <w:rFonts w:ascii="Arial" w:hAnsi="Arial" w:cs="Arial"/>
                <w:sz w:val="24"/>
                <w:szCs w:val="24"/>
              </w:rPr>
            </w:pPr>
            <w:r w:rsidRPr="00FF22C9">
              <w:rPr>
                <w:rFonts w:ascii="Arial" w:hAnsi="Arial" w:cs="Arial"/>
                <w:sz w:val="24"/>
                <w:szCs w:val="24"/>
              </w:rPr>
              <w:t>Professionalism and Professional Values</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Integrates professional values and their associated behaviors into the practice of nursing.</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Incorporates ethical and legal principles and professional standards into nursing practice.</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Integrates caring’s affective characteristics into patient-centered care and with other healthcare professionals.</w:t>
            </w:r>
          </w:p>
          <w:p w:rsidR="00FF22C9" w:rsidRPr="00FF22C9" w:rsidRDefault="00FF22C9" w:rsidP="00FF22C9">
            <w:pPr>
              <w:spacing w:line="276" w:lineRule="auto"/>
              <w:rPr>
                <w:rFonts w:ascii="Arial" w:hAnsi="Arial" w:cs="Arial"/>
                <w:sz w:val="24"/>
                <w:szCs w:val="24"/>
              </w:rPr>
            </w:pPr>
            <w:r w:rsidRPr="00FF22C9">
              <w:rPr>
                <w:rFonts w:ascii="Arial" w:hAnsi="Arial" w:cs="Arial"/>
                <w:sz w:val="24"/>
                <w:szCs w:val="24"/>
              </w:rPr>
              <w:t>Global Health</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Promotes safety and quality of health care outcomes for diverse populations incorporating principles of advocacy, leadership and collaboration.</w:t>
            </w:r>
          </w:p>
          <w:p w:rsidR="00FF22C9" w:rsidRPr="00FF22C9"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Advocates for health equity and social justice for vulnerable populations and the elimination of health disparities both locally and globally.</w:t>
            </w:r>
          </w:p>
          <w:p w:rsidR="004F3222" w:rsidRDefault="00FF22C9" w:rsidP="00FF22C9">
            <w:pPr>
              <w:spacing w:line="276" w:lineRule="auto"/>
              <w:rPr>
                <w:rFonts w:ascii="Arial" w:hAnsi="Arial" w:cs="Arial"/>
                <w:sz w:val="24"/>
                <w:szCs w:val="24"/>
              </w:rPr>
            </w:pPr>
            <w:r>
              <w:rPr>
                <w:rFonts w:ascii="Arial" w:hAnsi="Arial" w:cs="Arial"/>
                <w:sz w:val="24"/>
                <w:szCs w:val="24"/>
              </w:rPr>
              <w:t>•</w:t>
            </w:r>
            <w:r w:rsidRPr="00FF22C9">
              <w:rPr>
                <w:rFonts w:ascii="Arial" w:hAnsi="Arial" w:cs="Arial"/>
                <w:sz w:val="24"/>
                <w:szCs w:val="24"/>
              </w:rPr>
              <w:t>Participates in collaborative efforts to improve aspects of the environment that negatively impacts health both locally and globally.</w:t>
            </w:r>
          </w:p>
          <w:p w:rsidR="00FF22C9" w:rsidRPr="00AB49C0" w:rsidRDefault="00FF22C9" w:rsidP="00FF22C9">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932C9B" w:rsidP="0065207F">
            <w:pPr>
              <w:pStyle w:val="Heading3"/>
              <w:spacing w:line="260" w:lineRule="auto"/>
              <w:outlineLvl w:val="2"/>
              <w:rPr>
                <w:rFonts w:ascii="Arial" w:hAnsi="Arial" w:cs="Arial"/>
                <w:szCs w:val="24"/>
              </w:rPr>
            </w:pPr>
            <w:r w:rsidRPr="00932C9B">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7A7EFB" w:rsidRPr="005821C8" w:rsidRDefault="007A7EFB"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B00580" w:rsidP="000F4823">
            <w:pPr>
              <w:pStyle w:val="Heading4"/>
              <w:outlineLvl w:val="3"/>
              <w:rPr>
                <w:rFonts w:ascii="Tahoma" w:hAnsi="Tahoma" w:cs="Tahoma"/>
                <w:sz w:val="24"/>
                <w:szCs w:val="24"/>
              </w:rPr>
            </w:pPr>
            <w:r>
              <w:rPr>
                <w:rFonts w:ascii="Tahoma" w:hAnsi="Tahoma" w:cs="Tahoma"/>
                <w:sz w:val="24"/>
                <w:szCs w:val="24"/>
              </w:rPr>
              <w:t xml:space="preserve">Nursing; B.S.N. </w:t>
            </w:r>
            <w:r w:rsidR="00511D6E">
              <w:rPr>
                <w:rFonts w:ascii="Tahoma" w:hAnsi="Tahoma" w:cs="Tahoma"/>
                <w:sz w:val="24"/>
                <w:szCs w:val="24"/>
              </w:rPr>
              <w:t xml:space="preserve"> </w:t>
            </w:r>
          </w:p>
          <w:p w:rsidR="00120D34" w:rsidRDefault="00120D34" w:rsidP="00120D34"/>
          <w:p w:rsidR="00B00580" w:rsidRPr="00B00580" w:rsidRDefault="00B00580" w:rsidP="00B00580">
            <w:pPr>
              <w:rPr>
                <w:rFonts w:ascii="Tahoma" w:hAnsi="Tahoma" w:cs="Tahoma"/>
                <w:sz w:val="24"/>
                <w:szCs w:val="24"/>
              </w:rPr>
            </w:pPr>
            <w:r w:rsidRPr="00B00580">
              <w:rPr>
                <w:rFonts w:ascii="Tahoma" w:hAnsi="Tahoma" w:cs="Tahoma"/>
                <w:sz w:val="24"/>
                <w:szCs w:val="24"/>
              </w:rPr>
              <w:t>In addition to University Requirements:</w:t>
            </w:r>
          </w:p>
          <w:p w:rsidR="00B00580" w:rsidRPr="00B00580" w:rsidRDefault="00B00580" w:rsidP="00B00580">
            <w:pPr>
              <w:rPr>
                <w:rFonts w:ascii="Tahoma" w:hAnsi="Tahoma" w:cs="Tahoma"/>
                <w:sz w:val="24"/>
                <w:szCs w:val="24"/>
              </w:rPr>
            </w:pP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At least 47 units of preprofessional requirements</w:t>
            </w: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At least 73 units of major requirements</w:t>
            </w: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Be aware that you may not use courses with an NUR prefix to satisfy liberal studies requirements. Contact your advisor for information about liberal studies courses that are specific to this major.</w:t>
            </w: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Elective courses, if needed, to reach an overall total of at least 120 units</w:t>
            </w:r>
          </w:p>
          <w:p w:rsidR="00B00580" w:rsidRPr="00B00580" w:rsidRDefault="00B00580" w:rsidP="00B00580">
            <w:pPr>
              <w:rPr>
                <w:rFonts w:ascii="Tahoma" w:hAnsi="Tahoma" w:cs="Tahoma"/>
                <w:sz w:val="24"/>
                <w:szCs w:val="24"/>
              </w:rPr>
            </w:pPr>
          </w:p>
          <w:p w:rsidR="00C17563" w:rsidRPr="00A5552C" w:rsidRDefault="00B00580" w:rsidP="00B00580">
            <w:pPr>
              <w:rPr>
                <w:rFonts w:ascii="Tahoma" w:hAnsi="Tahoma" w:cs="Tahoma"/>
                <w:sz w:val="24"/>
                <w:szCs w:val="24"/>
              </w:rPr>
            </w:pPr>
            <w:r w:rsidRPr="00B00580">
              <w:rPr>
                <w:rFonts w:ascii="Tahoma" w:hAnsi="Tahoma" w:cs="Tahoma"/>
                <w:sz w:val="24"/>
                <w:szCs w:val="24"/>
              </w:rPr>
              <w:t>Please note that you may be able to use some courses to meet more than one requirement. Contact your advisor for details.</w:t>
            </w:r>
          </w:p>
          <w:p w:rsidR="006A5DE7" w:rsidRDefault="006A5DE7" w:rsidP="006A5DE7">
            <w:pPr>
              <w:rPr>
                <w:rFonts w:ascii="Tahoma" w:hAnsi="Tahoma" w:cs="Tahoma"/>
                <w:sz w:val="24"/>
                <w:szCs w:val="24"/>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995"/>
            </w:tblGrid>
            <w:tr w:rsidR="00B00580" w:rsidRPr="00B00580" w:rsidTr="00B00580">
              <w:trPr>
                <w:tblHeade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Minimum Units for Completion</w:t>
                  </w:r>
                </w:p>
              </w:tc>
              <w:tc>
                <w:tcPr>
                  <w:tcW w:w="295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120</w:t>
                  </w:r>
                </w:p>
              </w:tc>
            </w:tr>
            <w:tr w:rsidR="00B00580" w:rsidRPr="00B00580" w:rsidTr="00B00580">
              <w:trP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Mathematics Required</w:t>
                  </w:r>
                </w:p>
              </w:tc>
              <w:tc>
                <w:tcPr>
                  <w:tcW w:w="2950" w:type="dxa"/>
                  <w:vAlign w:val="center"/>
                  <w:hideMark/>
                </w:tcPr>
                <w:p w:rsidR="00B00580" w:rsidRPr="00B00580" w:rsidRDefault="00932C9B">
                  <w:pPr>
                    <w:rPr>
                      <w:rFonts w:ascii="Tahoma" w:hAnsi="Tahoma" w:cs="Tahoma"/>
                      <w:sz w:val="16"/>
                      <w:szCs w:val="16"/>
                    </w:rPr>
                  </w:pPr>
                  <w:hyperlink r:id="rId12" w:tgtFrame="_blank" w:history="1">
                    <w:r w:rsidR="00B00580" w:rsidRPr="00B00580">
                      <w:rPr>
                        <w:rStyle w:val="Hyperlink"/>
                        <w:rFonts w:ascii="Tahoma" w:hAnsi="Tahoma" w:cs="Tahoma"/>
                        <w:sz w:val="16"/>
                        <w:szCs w:val="16"/>
                      </w:rPr>
                      <w:t>STA 270</w:t>
                    </w:r>
                  </w:hyperlink>
                </w:p>
              </w:tc>
            </w:tr>
            <w:tr w:rsidR="00B00580" w:rsidRPr="00B00580" w:rsidTr="00B00580">
              <w:trP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Additional Admission Requirements</w:t>
                  </w:r>
                </w:p>
              </w:tc>
              <w:tc>
                <w:tcPr>
                  <w:tcW w:w="295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Required</w:t>
                  </w:r>
                </w:p>
              </w:tc>
            </w:tr>
            <w:tr w:rsidR="00B00580" w:rsidRPr="00B00580" w:rsidTr="00B00580">
              <w:trP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Fieldwork Experience/Internship</w:t>
                  </w:r>
                </w:p>
              </w:tc>
              <w:tc>
                <w:tcPr>
                  <w:tcW w:w="295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Required</w:t>
                  </w:r>
                </w:p>
              </w:tc>
            </w:tr>
            <w:tr w:rsidR="00B00580" w:rsidRPr="00B00580" w:rsidTr="00B00580">
              <w:trP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Additional Fees/Program Fees</w:t>
                  </w:r>
                </w:p>
              </w:tc>
              <w:tc>
                <w:tcPr>
                  <w:tcW w:w="295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Required</w:t>
                  </w:r>
                </w:p>
              </w:tc>
            </w:tr>
            <w:tr w:rsidR="00B00580" w:rsidRPr="00B00580" w:rsidTr="00B00580">
              <w:trP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University Honors Program</w:t>
                  </w:r>
                </w:p>
              </w:tc>
              <w:tc>
                <w:tcPr>
                  <w:tcW w:w="295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Optional</w:t>
                  </w:r>
                </w:p>
              </w:tc>
            </w:tr>
            <w:tr w:rsidR="00B00580" w:rsidRPr="00B00580" w:rsidTr="00B00580">
              <w:trPr>
                <w:tblCellSpacing w:w="15" w:type="dxa"/>
              </w:trPr>
              <w:tc>
                <w:tcPr>
                  <w:tcW w:w="2830" w:type="dxa"/>
                  <w:vAlign w:val="center"/>
                  <w:hideMark/>
                </w:tcPr>
                <w:p w:rsidR="00B00580" w:rsidRPr="00B00580" w:rsidRDefault="00B00580">
                  <w:pPr>
                    <w:rPr>
                      <w:rFonts w:ascii="Tahoma" w:hAnsi="Tahoma" w:cs="Tahoma"/>
                      <w:sz w:val="16"/>
                      <w:szCs w:val="16"/>
                    </w:rPr>
                  </w:pPr>
                  <w:r w:rsidRPr="00B00580">
                    <w:rPr>
                      <w:rFonts w:ascii="Tahoma" w:hAnsi="Tahoma" w:cs="Tahoma"/>
                      <w:sz w:val="16"/>
                      <w:szCs w:val="16"/>
                    </w:rPr>
                    <w:t>Progression Plan</w:t>
                  </w:r>
                </w:p>
              </w:tc>
              <w:tc>
                <w:tcPr>
                  <w:tcW w:w="2950" w:type="dxa"/>
                  <w:vAlign w:val="center"/>
                  <w:hideMark/>
                </w:tcPr>
                <w:p w:rsidR="00B00580" w:rsidRPr="00B00580" w:rsidRDefault="00932C9B">
                  <w:pPr>
                    <w:rPr>
                      <w:rFonts w:ascii="Tahoma" w:hAnsi="Tahoma" w:cs="Tahoma"/>
                      <w:sz w:val="16"/>
                      <w:szCs w:val="16"/>
                    </w:rPr>
                  </w:pPr>
                  <w:hyperlink r:id="rId13" w:anchor="NURBSNX" w:tgtFrame="_blank" w:history="1">
                    <w:r w:rsidR="00B00580" w:rsidRPr="00B00580">
                      <w:rPr>
                        <w:rStyle w:val="Hyperlink"/>
                        <w:rFonts w:ascii="Tahoma" w:hAnsi="Tahoma" w:cs="Tahoma"/>
                        <w:sz w:val="16"/>
                        <w:szCs w:val="16"/>
                      </w:rPr>
                      <w:t>View Progression Plan</w:t>
                    </w:r>
                  </w:hyperlink>
                </w:p>
              </w:tc>
            </w:tr>
          </w:tbl>
          <w:p w:rsidR="00511D6E" w:rsidRPr="00E96742" w:rsidRDefault="00511D6E" w:rsidP="000F4823"/>
          <w:p w:rsidR="00B00580" w:rsidRPr="00B00580" w:rsidRDefault="00B00580" w:rsidP="00B00580">
            <w:pPr>
              <w:rPr>
                <w:rFonts w:ascii="Tahoma" w:hAnsi="Tahoma" w:cs="Tahoma"/>
                <w:i/>
                <w:sz w:val="24"/>
                <w:szCs w:val="24"/>
              </w:rPr>
            </w:pPr>
            <w:r w:rsidRPr="00B00580">
              <w:rPr>
                <w:rFonts w:ascii="Tahoma" w:hAnsi="Tahoma" w:cs="Tahoma"/>
                <w:i/>
                <w:sz w:val="24"/>
                <w:szCs w:val="24"/>
              </w:rPr>
              <w:t>Additional Admission Requirements</w:t>
            </w:r>
          </w:p>
          <w:p w:rsidR="00B00580" w:rsidRPr="00B00580" w:rsidRDefault="00B00580" w:rsidP="00B00580">
            <w:pPr>
              <w:rPr>
                <w:rFonts w:ascii="Tahoma" w:hAnsi="Tahoma" w:cs="Tahoma"/>
                <w:i/>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Admission requirements over and above admission to NAU are required.</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Preprofessional Requirements</w:t>
            </w:r>
          </w:p>
          <w:p w:rsidR="00B00580" w:rsidRPr="00B00580" w:rsidRDefault="00B00580" w:rsidP="00B00580">
            <w:pPr>
              <w:rPr>
                <w:rFonts w:ascii="Tahoma" w:hAnsi="Tahoma" w:cs="Tahoma"/>
                <w:sz w:val="24"/>
                <w:szCs w:val="24"/>
              </w:rPr>
            </w:pPr>
            <w:r w:rsidRPr="00B00580">
              <w:rPr>
                <w:rFonts w:ascii="Tahoma" w:hAnsi="Tahoma" w:cs="Tahoma"/>
                <w:sz w:val="24"/>
                <w:szCs w:val="24"/>
              </w:rPr>
              <w:t>Prerequisite courses and also complete liberal studies and diversity requirements before being admitted to the nursing program (47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BIO 181 or (CHM 130 and CHM 130L) (3-5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BIO 201, BIO 201L, BIO 202, BIO 202L, BIO 205, BIO 205L (12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NTS 135 or NTS 256 (3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PSY 101, PSY 240 (6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STA 270 or PSY 230 (3-4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lastRenderedPageBreak/>
              <w:t>All other foundation, liberal studies, and diversity courses</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i/>
                <w:sz w:val="24"/>
                <w:szCs w:val="24"/>
              </w:rPr>
            </w:pPr>
            <w:r w:rsidRPr="00B00580">
              <w:rPr>
                <w:rFonts w:ascii="Tahoma" w:hAnsi="Tahoma" w:cs="Tahoma"/>
                <w:i/>
                <w:sz w:val="24"/>
                <w:szCs w:val="24"/>
              </w:rPr>
              <w:t>Major Requirements</w:t>
            </w:r>
          </w:p>
          <w:p w:rsidR="00B00580" w:rsidRPr="00B00580" w:rsidRDefault="00B00580" w:rsidP="00B00580">
            <w:pPr>
              <w:rPr>
                <w:rFonts w:ascii="Tahoma" w:hAnsi="Tahoma" w:cs="Tahoma"/>
                <w:sz w:val="24"/>
                <w:szCs w:val="24"/>
              </w:rPr>
            </w:pPr>
            <w:r w:rsidRPr="00B00580">
              <w:rPr>
                <w:rFonts w:ascii="Tahoma" w:hAnsi="Tahoma" w:cs="Tahoma"/>
                <w:sz w:val="24"/>
                <w:szCs w:val="24"/>
              </w:rPr>
              <w:t>Take the following 73 units:</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You take at least 3 units of support courses in conjunction with the nursing courses listed in the following paragraph:</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BIO 320 (3 units)</w:t>
            </w:r>
          </w:p>
          <w:p w:rsidR="00B00580" w:rsidRPr="00B00580" w:rsidRDefault="00B00580" w:rsidP="00B00580">
            <w:pPr>
              <w:rPr>
                <w:rFonts w:ascii="Tahoma" w:hAnsi="Tahoma" w:cs="Tahoma"/>
                <w:sz w:val="24"/>
                <w:szCs w:val="24"/>
              </w:rPr>
            </w:pPr>
            <w:r w:rsidRPr="00B00580">
              <w:rPr>
                <w:rFonts w:ascii="Tahoma" w:hAnsi="Tahoma" w:cs="Tahoma"/>
                <w:sz w:val="24"/>
                <w:szCs w:val="24"/>
              </w:rPr>
              <w:t>You take 70 units of sequenced nursing coursework in five semesters: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205, NUR 205L, NUR 214, NUR 214L, NUR 215, NUR 330 (13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208, NUR 208L, NUR 321, NUR 390W (14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212, NUR 212L, NUR 216, NUR 216L, NUR 320 (16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211, NUR 211L, NUR 350, NUR 350L, NUR 424 (15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427, NUR 427L, NUR 450C, NUR 451 (12 units)</w:t>
            </w:r>
          </w:p>
          <w:p w:rsidR="00B00580" w:rsidRPr="00B00580" w:rsidRDefault="00B00580" w:rsidP="00B00580">
            <w:pPr>
              <w:rPr>
                <w:rFonts w:ascii="Tahoma" w:hAnsi="Tahoma" w:cs="Tahoma"/>
                <w:sz w:val="24"/>
                <w:szCs w:val="24"/>
              </w:rPr>
            </w:pPr>
            <w:r w:rsidRPr="00B00580">
              <w:rPr>
                <w:rFonts w:ascii="Tahoma" w:hAnsi="Tahoma" w:cs="Tahoma"/>
                <w:sz w:val="24"/>
                <w:szCs w:val="24"/>
              </w:rPr>
              <w:t>(Please note that NUR 390W meets NAU's junior level writing requirement, and NUR 450C meets NAU's senior capstone requirement).</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i/>
                <w:sz w:val="24"/>
                <w:szCs w:val="24"/>
              </w:rPr>
            </w:pPr>
            <w:r w:rsidRPr="00B00580">
              <w:rPr>
                <w:rFonts w:ascii="Tahoma" w:hAnsi="Tahoma" w:cs="Tahoma"/>
                <w:i/>
                <w:sz w:val="24"/>
                <w:szCs w:val="24"/>
              </w:rPr>
              <w:t>General Electives</w:t>
            </w:r>
          </w:p>
          <w:p w:rsidR="00B00580" w:rsidRPr="00B00580" w:rsidRDefault="00B00580" w:rsidP="00B00580">
            <w:pPr>
              <w:rPr>
                <w:rFonts w:ascii="Tahoma" w:hAnsi="Tahoma" w:cs="Tahoma"/>
                <w:sz w:val="24"/>
                <w:szCs w:val="24"/>
              </w:rPr>
            </w:pPr>
            <w:r w:rsidRPr="00B00580">
              <w:rPr>
                <w:rFonts w:ascii="Tahoma" w:hAnsi="Tahoma" w:cs="Tahoma"/>
                <w:sz w:val="24"/>
                <w:szCs w:val="24"/>
              </w:rPr>
              <w:t xml:space="preserve">Additional coursework is required, if, after you have met the previously described requirements, you have not yet completed a total of 120 units of credit.  </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i/>
                <w:sz w:val="24"/>
                <w:szCs w:val="24"/>
              </w:rPr>
            </w:pPr>
            <w:r w:rsidRPr="00B00580">
              <w:rPr>
                <w:rFonts w:ascii="Tahoma" w:hAnsi="Tahoma" w:cs="Tahoma"/>
                <w:i/>
                <w:sz w:val="24"/>
                <w:szCs w:val="24"/>
              </w:rPr>
              <w:t>Additional Information</w:t>
            </w:r>
          </w:p>
          <w:p w:rsidR="00B00580" w:rsidRPr="00B00580" w:rsidRDefault="00B00580" w:rsidP="00B00580">
            <w:pPr>
              <w:rPr>
                <w:rFonts w:ascii="Tahoma" w:hAnsi="Tahoma" w:cs="Tahoma"/>
                <w:sz w:val="24"/>
                <w:szCs w:val="24"/>
              </w:rPr>
            </w:pPr>
            <w:r w:rsidRPr="00B00580">
              <w:rPr>
                <w:rFonts w:ascii="Tahoma" w:hAnsi="Tahoma" w:cs="Tahoma"/>
                <w:sz w:val="24"/>
                <w:szCs w:val="24"/>
              </w:rPr>
              <w:t>Be aware that some courses may have prerequisites that you must also take. For prerequisite information click on the course or see your advisor.</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lastRenderedPageBreak/>
              <w:t>PROGRAM FEE INFORMATION</w:t>
            </w:r>
          </w:p>
          <w:p w:rsidR="00344D10" w:rsidRPr="00B00580" w:rsidRDefault="00B00580" w:rsidP="00B00580">
            <w:pPr>
              <w:rPr>
                <w:rFonts w:ascii="Tahoma" w:hAnsi="Tahoma" w:cs="Tahoma"/>
                <w:sz w:val="24"/>
                <w:szCs w:val="24"/>
              </w:rPr>
            </w:pPr>
            <w:r w:rsidRPr="00B00580">
              <w:rPr>
                <w:rFonts w:ascii="Tahoma" w:hAnsi="Tahoma" w:cs="Tahoma"/>
                <w:sz w:val="24"/>
                <w:szCs w:val="24"/>
              </w:rPr>
              <w:t>Program fees are established by the Arizona Board of Regents (ABOR). A program fee of $1600 ($400 per semester in students' Junior and Senior years) has been approved for this program.</w:t>
            </w:r>
          </w:p>
          <w:p w:rsidR="00511D6E" w:rsidRPr="00344D10" w:rsidRDefault="00511D6E" w:rsidP="00511D6E">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00580" w:rsidRDefault="00B00580" w:rsidP="00B00580">
            <w:pPr>
              <w:pStyle w:val="Heading4"/>
              <w:outlineLvl w:val="3"/>
              <w:rPr>
                <w:rFonts w:ascii="Tahoma" w:hAnsi="Tahoma" w:cs="Tahoma"/>
                <w:sz w:val="24"/>
                <w:szCs w:val="24"/>
              </w:rPr>
            </w:pPr>
            <w:r>
              <w:rPr>
                <w:rFonts w:ascii="Tahoma" w:hAnsi="Tahoma" w:cs="Tahoma"/>
                <w:sz w:val="24"/>
                <w:szCs w:val="24"/>
              </w:rPr>
              <w:t xml:space="preserve">Nursing; B.S.N.  </w:t>
            </w:r>
          </w:p>
          <w:p w:rsidR="00B00580" w:rsidRDefault="00B00580" w:rsidP="00B00580"/>
          <w:p w:rsidR="00B00580" w:rsidRPr="00B00580" w:rsidRDefault="00B00580" w:rsidP="00B00580">
            <w:pPr>
              <w:rPr>
                <w:rFonts w:ascii="Tahoma" w:hAnsi="Tahoma" w:cs="Tahoma"/>
                <w:sz w:val="24"/>
                <w:szCs w:val="24"/>
              </w:rPr>
            </w:pPr>
            <w:r w:rsidRPr="00B00580">
              <w:rPr>
                <w:rFonts w:ascii="Tahoma" w:hAnsi="Tahoma" w:cs="Tahoma"/>
                <w:sz w:val="24"/>
                <w:szCs w:val="24"/>
              </w:rPr>
              <w:t>In addition to University Requirements:</w:t>
            </w:r>
          </w:p>
          <w:p w:rsidR="00B00580" w:rsidRPr="00B00580" w:rsidRDefault="00B00580" w:rsidP="00B00580">
            <w:pPr>
              <w:rPr>
                <w:rFonts w:ascii="Tahoma" w:hAnsi="Tahoma" w:cs="Tahoma"/>
                <w:sz w:val="24"/>
                <w:szCs w:val="24"/>
              </w:rPr>
            </w:pP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At least 47 units of preprofessional requirements</w:t>
            </w: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At least 73 units of major requirements</w:t>
            </w: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Be aware that you may not use courses with an NUR prefix to satisfy liberal studies requirements. Contact your advisor for information about liberal studies courses that are specific to this major.</w:t>
            </w:r>
          </w:p>
          <w:p w:rsidR="00B00580" w:rsidRPr="00B00580" w:rsidRDefault="00B00580" w:rsidP="00B00580">
            <w:pPr>
              <w:pStyle w:val="ListParagraph"/>
              <w:numPr>
                <w:ilvl w:val="0"/>
                <w:numId w:val="15"/>
              </w:numPr>
              <w:rPr>
                <w:rFonts w:ascii="Tahoma" w:hAnsi="Tahoma" w:cs="Tahoma"/>
                <w:sz w:val="24"/>
                <w:szCs w:val="24"/>
              </w:rPr>
            </w:pPr>
            <w:r w:rsidRPr="00B00580">
              <w:rPr>
                <w:rFonts w:ascii="Tahoma" w:hAnsi="Tahoma" w:cs="Tahoma"/>
                <w:sz w:val="24"/>
                <w:szCs w:val="24"/>
              </w:rPr>
              <w:t>Elective courses, if needed, to reach an overall total of at least 120 units</w:t>
            </w:r>
          </w:p>
          <w:p w:rsidR="00B00580" w:rsidRPr="00B00580" w:rsidRDefault="00B00580" w:rsidP="00B00580">
            <w:pPr>
              <w:rPr>
                <w:rFonts w:ascii="Tahoma" w:hAnsi="Tahoma" w:cs="Tahoma"/>
                <w:sz w:val="24"/>
                <w:szCs w:val="24"/>
              </w:rPr>
            </w:pPr>
          </w:p>
          <w:p w:rsidR="00B00580" w:rsidRPr="00A5552C" w:rsidRDefault="00B00580" w:rsidP="00B00580">
            <w:pPr>
              <w:rPr>
                <w:rFonts w:ascii="Tahoma" w:hAnsi="Tahoma" w:cs="Tahoma"/>
                <w:sz w:val="24"/>
                <w:szCs w:val="24"/>
              </w:rPr>
            </w:pPr>
            <w:r w:rsidRPr="00B00580">
              <w:rPr>
                <w:rFonts w:ascii="Tahoma" w:hAnsi="Tahoma" w:cs="Tahoma"/>
                <w:sz w:val="24"/>
                <w:szCs w:val="24"/>
              </w:rPr>
              <w:t>Please note that you may be able to use some courses to meet more than one requirement. Contact your advisor for details.</w:t>
            </w:r>
          </w:p>
          <w:p w:rsidR="00B00580" w:rsidRDefault="00B00580" w:rsidP="00B00580">
            <w:pPr>
              <w:rPr>
                <w:rFonts w:ascii="Tahoma" w:hAnsi="Tahoma" w:cs="Tahoma"/>
                <w:sz w:val="24"/>
                <w:szCs w:val="24"/>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995"/>
            </w:tblGrid>
            <w:tr w:rsidR="00B00580" w:rsidRPr="00B00580" w:rsidTr="005E0A66">
              <w:trPr>
                <w:tblHeade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Minimum Units for Completion</w:t>
                  </w:r>
                </w:p>
              </w:tc>
              <w:tc>
                <w:tcPr>
                  <w:tcW w:w="295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120</w:t>
                  </w:r>
                </w:p>
              </w:tc>
            </w:tr>
            <w:tr w:rsidR="00B00580" w:rsidRPr="00B00580" w:rsidTr="005E0A66">
              <w:trP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Mathematics Required</w:t>
                  </w:r>
                </w:p>
              </w:tc>
              <w:tc>
                <w:tcPr>
                  <w:tcW w:w="2950" w:type="dxa"/>
                  <w:vAlign w:val="center"/>
                  <w:hideMark/>
                </w:tcPr>
                <w:p w:rsidR="00B00580" w:rsidRPr="00B00580" w:rsidRDefault="00932C9B" w:rsidP="005E0A66">
                  <w:pPr>
                    <w:rPr>
                      <w:rFonts w:ascii="Tahoma" w:hAnsi="Tahoma" w:cs="Tahoma"/>
                      <w:sz w:val="16"/>
                      <w:szCs w:val="16"/>
                    </w:rPr>
                  </w:pPr>
                  <w:hyperlink r:id="rId14" w:tgtFrame="_blank" w:history="1">
                    <w:r w:rsidR="00B00580" w:rsidRPr="00B00580">
                      <w:rPr>
                        <w:rStyle w:val="Hyperlink"/>
                        <w:rFonts w:ascii="Tahoma" w:hAnsi="Tahoma" w:cs="Tahoma"/>
                        <w:sz w:val="16"/>
                        <w:szCs w:val="16"/>
                      </w:rPr>
                      <w:t>STA 270</w:t>
                    </w:r>
                  </w:hyperlink>
                </w:p>
              </w:tc>
            </w:tr>
            <w:tr w:rsidR="00B00580" w:rsidRPr="00B00580" w:rsidTr="005E0A66">
              <w:trP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Additional Admission Requirements</w:t>
                  </w:r>
                </w:p>
              </w:tc>
              <w:tc>
                <w:tcPr>
                  <w:tcW w:w="295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Required</w:t>
                  </w:r>
                </w:p>
              </w:tc>
            </w:tr>
            <w:tr w:rsidR="00B00580" w:rsidRPr="00B00580" w:rsidTr="005E0A66">
              <w:trP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Fieldwork Experience/Internship</w:t>
                  </w:r>
                </w:p>
              </w:tc>
              <w:tc>
                <w:tcPr>
                  <w:tcW w:w="295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Required</w:t>
                  </w:r>
                </w:p>
              </w:tc>
            </w:tr>
            <w:tr w:rsidR="00B00580" w:rsidRPr="00B00580" w:rsidTr="005E0A66">
              <w:trP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Additional Fees/Program Fees</w:t>
                  </w:r>
                </w:p>
              </w:tc>
              <w:tc>
                <w:tcPr>
                  <w:tcW w:w="295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Required</w:t>
                  </w:r>
                </w:p>
              </w:tc>
            </w:tr>
            <w:tr w:rsidR="00B00580" w:rsidRPr="00B00580" w:rsidTr="005E0A66">
              <w:trP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University Honors Program</w:t>
                  </w:r>
                </w:p>
              </w:tc>
              <w:tc>
                <w:tcPr>
                  <w:tcW w:w="295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Optional</w:t>
                  </w:r>
                </w:p>
              </w:tc>
            </w:tr>
            <w:tr w:rsidR="00B00580" w:rsidRPr="00B00580" w:rsidTr="005E0A66">
              <w:trPr>
                <w:tblCellSpacing w:w="15" w:type="dxa"/>
              </w:trPr>
              <w:tc>
                <w:tcPr>
                  <w:tcW w:w="2830" w:type="dxa"/>
                  <w:vAlign w:val="center"/>
                  <w:hideMark/>
                </w:tcPr>
                <w:p w:rsidR="00B00580" w:rsidRPr="00B00580" w:rsidRDefault="00B00580" w:rsidP="005E0A66">
                  <w:pPr>
                    <w:rPr>
                      <w:rFonts w:ascii="Tahoma" w:hAnsi="Tahoma" w:cs="Tahoma"/>
                      <w:sz w:val="16"/>
                      <w:szCs w:val="16"/>
                    </w:rPr>
                  </w:pPr>
                  <w:r w:rsidRPr="00B00580">
                    <w:rPr>
                      <w:rFonts w:ascii="Tahoma" w:hAnsi="Tahoma" w:cs="Tahoma"/>
                      <w:sz w:val="16"/>
                      <w:szCs w:val="16"/>
                    </w:rPr>
                    <w:t>Progression Plan</w:t>
                  </w:r>
                </w:p>
              </w:tc>
              <w:tc>
                <w:tcPr>
                  <w:tcW w:w="2950" w:type="dxa"/>
                  <w:vAlign w:val="center"/>
                  <w:hideMark/>
                </w:tcPr>
                <w:p w:rsidR="00B00580" w:rsidRPr="00B00580" w:rsidRDefault="00932C9B" w:rsidP="005E0A66">
                  <w:pPr>
                    <w:rPr>
                      <w:rFonts w:ascii="Tahoma" w:hAnsi="Tahoma" w:cs="Tahoma"/>
                      <w:sz w:val="16"/>
                      <w:szCs w:val="16"/>
                    </w:rPr>
                  </w:pPr>
                  <w:hyperlink r:id="rId15" w:anchor="NURBSNX" w:tgtFrame="_blank" w:history="1">
                    <w:r w:rsidR="00B00580" w:rsidRPr="00B00580">
                      <w:rPr>
                        <w:rStyle w:val="Hyperlink"/>
                        <w:rFonts w:ascii="Tahoma" w:hAnsi="Tahoma" w:cs="Tahoma"/>
                        <w:sz w:val="16"/>
                        <w:szCs w:val="16"/>
                      </w:rPr>
                      <w:t>View Progression Plan</w:t>
                    </w:r>
                  </w:hyperlink>
                </w:p>
              </w:tc>
            </w:tr>
          </w:tbl>
          <w:p w:rsidR="00B00580" w:rsidRPr="00E96742" w:rsidRDefault="00B00580" w:rsidP="00B00580"/>
          <w:p w:rsidR="00B00580" w:rsidRPr="00B00580" w:rsidRDefault="00B00580" w:rsidP="00B00580">
            <w:pPr>
              <w:rPr>
                <w:rFonts w:ascii="Tahoma" w:hAnsi="Tahoma" w:cs="Tahoma"/>
                <w:i/>
                <w:sz w:val="24"/>
                <w:szCs w:val="24"/>
              </w:rPr>
            </w:pPr>
            <w:r w:rsidRPr="00B00580">
              <w:rPr>
                <w:rFonts w:ascii="Tahoma" w:hAnsi="Tahoma" w:cs="Tahoma"/>
                <w:i/>
                <w:sz w:val="24"/>
                <w:szCs w:val="24"/>
              </w:rPr>
              <w:t>Additional Admission Requirements</w:t>
            </w:r>
          </w:p>
          <w:p w:rsidR="00B00580" w:rsidRPr="00B00580" w:rsidRDefault="00B00580" w:rsidP="00B00580">
            <w:pPr>
              <w:rPr>
                <w:rFonts w:ascii="Tahoma" w:hAnsi="Tahoma" w:cs="Tahoma"/>
                <w:i/>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Admission requirements over and above admission to NAU are required.</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Preprofessional Requirements</w:t>
            </w:r>
          </w:p>
          <w:p w:rsidR="00B00580" w:rsidRPr="00B00580" w:rsidRDefault="00B00580" w:rsidP="00B00580">
            <w:pPr>
              <w:rPr>
                <w:rFonts w:ascii="Tahoma" w:hAnsi="Tahoma" w:cs="Tahoma"/>
                <w:sz w:val="24"/>
                <w:szCs w:val="24"/>
              </w:rPr>
            </w:pPr>
            <w:r w:rsidRPr="00B00580">
              <w:rPr>
                <w:rFonts w:ascii="Tahoma" w:hAnsi="Tahoma" w:cs="Tahoma"/>
                <w:sz w:val="24"/>
                <w:szCs w:val="24"/>
              </w:rPr>
              <w:t>Prerequisite courses and also complete liberal studies and diversity requirements before being admitted to the nursing program (47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BIO 181 or (CHM 130 and CHM 130L) (3-5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BIO 201, BIO 201L, BIO 202, BIO 202L, BIO 205, BIO 205L (12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NTS 135 or NTS 256 (3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PSY 101, PSY 240 (6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t>STA 270 or PSY 230 (3-4 units)</w:t>
            </w:r>
          </w:p>
          <w:p w:rsidR="00B00580" w:rsidRPr="00B00580" w:rsidRDefault="00B00580" w:rsidP="00B00580">
            <w:pPr>
              <w:pStyle w:val="ListParagraph"/>
              <w:numPr>
                <w:ilvl w:val="0"/>
                <w:numId w:val="16"/>
              </w:numPr>
              <w:rPr>
                <w:rFonts w:ascii="Tahoma" w:hAnsi="Tahoma" w:cs="Tahoma"/>
                <w:sz w:val="24"/>
                <w:szCs w:val="24"/>
              </w:rPr>
            </w:pPr>
            <w:r w:rsidRPr="00B00580">
              <w:rPr>
                <w:rFonts w:ascii="Tahoma" w:hAnsi="Tahoma" w:cs="Tahoma"/>
                <w:sz w:val="24"/>
                <w:szCs w:val="24"/>
              </w:rPr>
              <w:lastRenderedPageBreak/>
              <w:t>All other foundation, liberal studies, and diversity courses</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i/>
                <w:sz w:val="24"/>
                <w:szCs w:val="24"/>
              </w:rPr>
            </w:pPr>
            <w:r w:rsidRPr="00B00580">
              <w:rPr>
                <w:rFonts w:ascii="Tahoma" w:hAnsi="Tahoma" w:cs="Tahoma"/>
                <w:i/>
                <w:sz w:val="24"/>
                <w:szCs w:val="24"/>
              </w:rPr>
              <w:t>Major Requirements</w:t>
            </w:r>
          </w:p>
          <w:p w:rsidR="00B00580" w:rsidRPr="00361AE2" w:rsidRDefault="00B00580" w:rsidP="00B00580">
            <w:pPr>
              <w:rPr>
                <w:rFonts w:ascii="Tahoma" w:hAnsi="Tahoma" w:cs="Tahoma"/>
                <w:b/>
                <w:strike/>
                <w:color w:val="FF0000"/>
                <w:sz w:val="24"/>
                <w:szCs w:val="24"/>
              </w:rPr>
            </w:pPr>
            <w:r w:rsidRPr="00361AE2">
              <w:rPr>
                <w:rFonts w:ascii="Tahoma" w:hAnsi="Tahoma" w:cs="Tahoma"/>
                <w:b/>
                <w:strike/>
                <w:color w:val="FF0000"/>
                <w:sz w:val="24"/>
                <w:szCs w:val="24"/>
              </w:rPr>
              <w:t>Take the following 73 units:</w:t>
            </w:r>
          </w:p>
          <w:p w:rsidR="00B00580" w:rsidRPr="00361AE2" w:rsidRDefault="00B00580" w:rsidP="00B00580">
            <w:pPr>
              <w:rPr>
                <w:rFonts w:ascii="Tahoma" w:hAnsi="Tahoma" w:cs="Tahoma"/>
                <w:b/>
                <w:strike/>
                <w:color w:val="FF0000"/>
                <w:sz w:val="24"/>
                <w:szCs w:val="24"/>
              </w:rPr>
            </w:pPr>
          </w:p>
          <w:p w:rsidR="00B00580" w:rsidRPr="00D43B4D" w:rsidRDefault="00B00580" w:rsidP="00B00580">
            <w:pPr>
              <w:rPr>
                <w:rFonts w:ascii="Tahoma" w:hAnsi="Tahoma" w:cs="Tahoma"/>
                <w:b/>
                <w:strike/>
                <w:color w:val="FF0000"/>
                <w:sz w:val="24"/>
                <w:szCs w:val="24"/>
              </w:rPr>
            </w:pPr>
            <w:r w:rsidRPr="00D43B4D">
              <w:rPr>
                <w:rFonts w:ascii="Tahoma" w:hAnsi="Tahoma" w:cs="Tahoma"/>
                <w:b/>
                <w:strike/>
                <w:color w:val="FF0000"/>
                <w:sz w:val="24"/>
                <w:szCs w:val="24"/>
              </w:rPr>
              <w:t>You take at least 3 units of support courses in conjunction with the nursing courses listed in the following paragraph:</w:t>
            </w:r>
          </w:p>
          <w:p w:rsidR="00B00580" w:rsidRPr="00D43B4D" w:rsidRDefault="00B00580" w:rsidP="00B00580">
            <w:pPr>
              <w:pStyle w:val="ListParagraph"/>
              <w:numPr>
                <w:ilvl w:val="0"/>
                <w:numId w:val="17"/>
              </w:numPr>
              <w:rPr>
                <w:rFonts w:ascii="Tahoma" w:hAnsi="Tahoma" w:cs="Tahoma"/>
                <w:b/>
                <w:strike/>
                <w:color w:val="FF0000"/>
                <w:sz w:val="24"/>
                <w:szCs w:val="24"/>
              </w:rPr>
            </w:pPr>
            <w:r w:rsidRPr="00D43B4D">
              <w:rPr>
                <w:rFonts w:ascii="Tahoma" w:hAnsi="Tahoma" w:cs="Tahoma"/>
                <w:b/>
                <w:strike/>
                <w:color w:val="FF0000"/>
                <w:sz w:val="24"/>
                <w:szCs w:val="24"/>
              </w:rPr>
              <w:t>BIO 320 (3 units)</w:t>
            </w:r>
          </w:p>
          <w:p w:rsidR="00B00580" w:rsidRPr="00B00580" w:rsidRDefault="00B00580" w:rsidP="00B00580">
            <w:pPr>
              <w:rPr>
                <w:rFonts w:ascii="Tahoma" w:hAnsi="Tahoma" w:cs="Tahoma"/>
                <w:sz w:val="24"/>
                <w:szCs w:val="24"/>
              </w:rPr>
            </w:pPr>
            <w:r w:rsidRPr="00361AE2">
              <w:rPr>
                <w:rFonts w:ascii="Tahoma" w:hAnsi="Tahoma" w:cs="Tahoma"/>
                <w:b/>
                <w:strike/>
                <w:color w:val="FF0000"/>
                <w:sz w:val="24"/>
                <w:szCs w:val="24"/>
              </w:rPr>
              <w:t>You</w:t>
            </w:r>
            <w:r w:rsidRPr="00B00580">
              <w:rPr>
                <w:rFonts w:ascii="Tahoma" w:hAnsi="Tahoma" w:cs="Tahoma"/>
                <w:sz w:val="24"/>
                <w:szCs w:val="24"/>
              </w:rPr>
              <w:t xml:space="preserve"> </w:t>
            </w:r>
            <w:r w:rsidR="00361AE2" w:rsidRPr="00361AE2">
              <w:rPr>
                <w:rFonts w:ascii="Tahoma" w:hAnsi="Tahoma" w:cs="Tahoma"/>
                <w:b/>
                <w:sz w:val="24"/>
                <w:szCs w:val="24"/>
              </w:rPr>
              <w:t>T</w:t>
            </w:r>
            <w:r w:rsidRPr="00B00580">
              <w:rPr>
                <w:rFonts w:ascii="Tahoma" w:hAnsi="Tahoma" w:cs="Tahoma"/>
                <w:sz w:val="24"/>
                <w:szCs w:val="24"/>
              </w:rPr>
              <w:t>ake</w:t>
            </w:r>
            <w:r w:rsidR="00361AE2" w:rsidRPr="00B00580">
              <w:rPr>
                <w:rFonts w:ascii="Tahoma" w:hAnsi="Tahoma" w:cs="Tahoma"/>
                <w:sz w:val="24"/>
                <w:szCs w:val="24"/>
              </w:rPr>
              <w:t xml:space="preserve"> </w:t>
            </w:r>
            <w:r w:rsidR="00361AE2" w:rsidRPr="00361AE2">
              <w:rPr>
                <w:rFonts w:ascii="Tahoma" w:hAnsi="Tahoma" w:cs="Tahoma"/>
                <w:b/>
                <w:sz w:val="24"/>
                <w:szCs w:val="24"/>
              </w:rPr>
              <w:t>the following</w:t>
            </w:r>
            <w:r w:rsidRPr="00B00580">
              <w:rPr>
                <w:rFonts w:ascii="Tahoma" w:hAnsi="Tahoma" w:cs="Tahoma"/>
                <w:sz w:val="24"/>
                <w:szCs w:val="24"/>
              </w:rPr>
              <w:t xml:space="preserve"> </w:t>
            </w:r>
            <w:r w:rsidRPr="00D43B4D">
              <w:rPr>
                <w:rFonts w:ascii="Tahoma" w:hAnsi="Tahoma" w:cs="Tahoma"/>
                <w:b/>
                <w:strike/>
                <w:color w:val="FF0000"/>
                <w:sz w:val="24"/>
                <w:szCs w:val="24"/>
              </w:rPr>
              <w:t>70</w:t>
            </w:r>
            <w:r w:rsidRPr="00B00580">
              <w:rPr>
                <w:rFonts w:ascii="Tahoma" w:hAnsi="Tahoma" w:cs="Tahoma"/>
                <w:sz w:val="24"/>
                <w:szCs w:val="24"/>
              </w:rPr>
              <w:t xml:space="preserve"> </w:t>
            </w:r>
            <w:r w:rsidR="00D43B4D" w:rsidRPr="00D43B4D">
              <w:rPr>
                <w:rFonts w:ascii="Tahoma" w:hAnsi="Tahoma" w:cs="Tahoma"/>
                <w:b/>
                <w:sz w:val="24"/>
                <w:szCs w:val="24"/>
              </w:rPr>
              <w:t>73</w:t>
            </w:r>
            <w:r w:rsidR="00D43B4D">
              <w:rPr>
                <w:rFonts w:ascii="Tahoma" w:hAnsi="Tahoma" w:cs="Tahoma"/>
                <w:sz w:val="24"/>
                <w:szCs w:val="24"/>
              </w:rPr>
              <w:t xml:space="preserve"> </w:t>
            </w:r>
            <w:r w:rsidRPr="00B00580">
              <w:rPr>
                <w:rFonts w:ascii="Tahoma" w:hAnsi="Tahoma" w:cs="Tahoma"/>
                <w:sz w:val="24"/>
                <w:szCs w:val="24"/>
              </w:rPr>
              <w:t>units of sequenced nursing coursework in five semesters: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 xml:space="preserve">NUR 205, NUR 205L, NUR 214, NUR 214L, </w:t>
            </w:r>
            <w:r w:rsidRPr="00D43B4D">
              <w:rPr>
                <w:rFonts w:ascii="Tahoma" w:hAnsi="Tahoma" w:cs="Tahoma"/>
                <w:b/>
                <w:strike/>
                <w:color w:val="FF0000"/>
                <w:sz w:val="24"/>
                <w:szCs w:val="24"/>
              </w:rPr>
              <w:t>NUR 215</w:t>
            </w:r>
            <w:r w:rsidRPr="00B00580">
              <w:rPr>
                <w:rFonts w:ascii="Tahoma" w:hAnsi="Tahoma" w:cs="Tahoma"/>
                <w:sz w:val="24"/>
                <w:szCs w:val="24"/>
              </w:rPr>
              <w:t>, NUR 330</w:t>
            </w:r>
            <w:r w:rsidR="00D43B4D">
              <w:rPr>
                <w:rFonts w:ascii="Tahoma" w:hAnsi="Tahoma" w:cs="Tahoma"/>
                <w:sz w:val="24"/>
                <w:szCs w:val="24"/>
              </w:rPr>
              <w:t xml:space="preserve">, </w:t>
            </w:r>
            <w:r w:rsidR="00D43B4D" w:rsidRPr="00D43B4D">
              <w:rPr>
                <w:rFonts w:ascii="Tahoma" w:hAnsi="Tahoma" w:cs="Tahoma"/>
                <w:b/>
                <w:sz w:val="24"/>
                <w:szCs w:val="24"/>
              </w:rPr>
              <w:t>NUR 371, NUR 373</w:t>
            </w:r>
            <w:r w:rsidRPr="00B00580">
              <w:rPr>
                <w:rFonts w:ascii="Tahoma" w:hAnsi="Tahoma" w:cs="Tahoma"/>
                <w:sz w:val="24"/>
                <w:szCs w:val="24"/>
              </w:rPr>
              <w:t xml:space="preserve"> (</w:t>
            </w:r>
            <w:r w:rsidRPr="00D43B4D">
              <w:rPr>
                <w:rFonts w:ascii="Tahoma" w:hAnsi="Tahoma" w:cs="Tahoma"/>
                <w:b/>
                <w:strike/>
                <w:color w:val="FF0000"/>
                <w:sz w:val="24"/>
                <w:szCs w:val="24"/>
              </w:rPr>
              <w:t>13</w:t>
            </w:r>
            <w:r w:rsidRPr="00B00580">
              <w:rPr>
                <w:rFonts w:ascii="Tahoma" w:hAnsi="Tahoma" w:cs="Tahoma"/>
                <w:sz w:val="24"/>
                <w:szCs w:val="24"/>
              </w:rPr>
              <w:t xml:space="preserve"> </w:t>
            </w:r>
            <w:r w:rsidR="00D43B4D" w:rsidRPr="00D43B4D">
              <w:rPr>
                <w:rFonts w:ascii="Tahoma" w:hAnsi="Tahoma" w:cs="Tahoma"/>
                <w:b/>
                <w:sz w:val="24"/>
                <w:szCs w:val="24"/>
              </w:rPr>
              <w:t>16</w:t>
            </w:r>
            <w:r w:rsidR="00D43B4D">
              <w:rPr>
                <w:rFonts w:ascii="Tahoma" w:hAnsi="Tahoma" w:cs="Tahoma"/>
                <w:sz w:val="24"/>
                <w:szCs w:val="24"/>
              </w:rPr>
              <w:t xml:space="preserve"> </w:t>
            </w:r>
            <w:r w:rsidRPr="00B00580">
              <w:rPr>
                <w:rFonts w:ascii="Tahoma" w:hAnsi="Tahoma" w:cs="Tahoma"/>
                <w:sz w:val="24"/>
                <w:szCs w:val="24"/>
              </w:rPr>
              <w:t>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208, NUR 208L, NUR 321, NUR 390W (14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 xml:space="preserve">NUR 212, NUR 212L, NUR 216, NUR 216L, </w:t>
            </w:r>
            <w:r w:rsidRPr="00310C0A">
              <w:rPr>
                <w:rFonts w:ascii="Tahoma" w:hAnsi="Tahoma" w:cs="Tahoma"/>
                <w:sz w:val="24"/>
                <w:szCs w:val="24"/>
              </w:rPr>
              <w:t>NUR 320</w:t>
            </w:r>
            <w:r w:rsidRPr="00B00580">
              <w:rPr>
                <w:rFonts w:ascii="Tahoma" w:hAnsi="Tahoma" w:cs="Tahoma"/>
                <w:sz w:val="24"/>
                <w:szCs w:val="24"/>
              </w:rPr>
              <w:t xml:space="preserve"> (16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211, NUR 211L, NUR 350, NUR 350L, NUR 424 (15 units)</w:t>
            </w:r>
          </w:p>
          <w:p w:rsidR="00B00580" w:rsidRPr="00B00580" w:rsidRDefault="00B00580" w:rsidP="00B00580">
            <w:pPr>
              <w:pStyle w:val="ListParagraph"/>
              <w:numPr>
                <w:ilvl w:val="0"/>
                <w:numId w:val="17"/>
              </w:numPr>
              <w:rPr>
                <w:rFonts w:ascii="Tahoma" w:hAnsi="Tahoma" w:cs="Tahoma"/>
                <w:sz w:val="24"/>
                <w:szCs w:val="24"/>
              </w:rPr>
            </w:pPr>
            <w:r w:rsidRPr="00B00580">
              <w:rPr>
                <w:rFonts w:ascii="Tahoma" w:hAnsi="Tahoma" w:cs="Tahoma"/>
                <w:sz w:val="24"/>
                <w:szCs w:val="24"/>
              </w:rPr>
              <w:t>NUR 427, NUR 427L, NUR 450C, NUR 451 (12 units)</w:t>
            </w:r>
          </w:p>
          <w:p w:rsidR="00B00580" w:rsidRPr="00B00580" w:rsidRDefault="00B00580" w:rsidP="00B00580">
            <w:pPr>
              <w:rPr>
                <w:rFonts w:ascii="Tahoma" w:hAnsi="Tahoma" w:cs="Tahoma"/>
                <w:sz w:val="24"/>
                <w:szCs w:val="24"/>
              </w:rPr>
            </w:pPr>
            <w:r w:rsidRPr="00B00580">
              <w:rPr>
                <w:rFonts w:ascii="Tahoma" w:hAnsi="Tahoma" w:cs="Tahoma"/>
                <w:sz w:val="24"/>
                <w:szCs w:val="24"/>
              </w:rPr>
              <w:t>(Please note that NUR 390W meets NAU's junior level writing requirement, and NUR 450C meets NAU's senior capstone requirement).</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i/>
                <w:sz w:val="24"/>
                <w:szCs w:val="24"/>
              </w:rPr>
            </w:pPr>
            <w:r w:rsidRPr="00B00580">
              <w:rPr>
                <w:rFonts w:ascii="Tahoma" w:hAnsi="Tahoma" w:cs="Tahoma"/>
                <w:i/>
                <w:sz w:val="24"/>
                <w:szCs w:val="24"/>
              </w:rPr>
              <w:t>General Electives</w:t>
            </w:r>
          </w:p>
          <w:p w:rsidR="00B00580" w:rsidRPr="00B00580" w:rsidRDefault="00B00580" w:rsidP="00B00580">
            <w:pPr>
              <w:rPr>
                <w:rFonts w:ascii="Tahoma" w:hAnsi="Tahoma" w:cs="Tahoma"/>
                <w:sz w:val="24"/>
                <w:szCs w:val="24"/>
              </w:rPr>
            </w:pPr>
            <w:r w:rsidRPr="00B00580">
              <w:rPr>
                <w:rFonts w:ascii="Tahoma" w:hAnsi="Tahoma" w:cs="Tahoma"/>
                <w:sz w:val="24"/>
                <w:szCs w:val="24"/>
              </w:rPr>
              <w:t xml:space="preserve">Additional coursework is required, if, after you have met the previously described requirements, you have not yet completed a total of 120 units of credit.  </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i/>
                <w:sz w:val="24"/>
                <w:szCs w:val="24"/>
              </w:rPr>
            </w:pPr>
            <w:r w:rsidRPr="00B00580">
              <w:rPr>
                <w:rFonts w:ascii="Tahoma" w:hAnsi="Tahoma" w:cs="Tahoma"/>
                <w:i/>
                <w:sz w:val="24"/>
                <w:szCs w:val="24"/>
              </w:rPr>
              <w:t>Additional Information</w:t>
            </w:r>
          </w:p>
          <w:p w:rsidR="00B00580" w:rsidRPr="00B00580" w:rsidRDefault="00B00580" w:rsidP="00B00580">
            <w:pPr>
              <w:rPr>
                <w:rFonts w:ascii="Tahoma" w:hAnsi="Tahoma" w:cs="Tahoma"/>
                <w:sz w:val="24"/>
                <w:szCs w:val="24"/>
              </w:rPr>
            </w:pPr>
            <w:r w:rsidRPr="00B00580">
              <w:rPr>
                <w:rFonts w:ascii="Tahoma" w:hAnsi="Tahoma" w:cs="Tahoma"/>
                <w:sz w:val="24"/>
                <w:szCs w:val="24"/>
              </w:rPr>
              <w:t xml:space="preserve">Be aware that some courses may have prerequisites that you must also take. For prerequisite information click on the course or </w:t>
            </w:r>
            <w:r w:rsidRPr="00B00580">
              <w:rPr>
                <w:rFonts w:ascii="Tahoma" w:hAnsi="Tahoma" w:cs="Tahoma"/>
                <w:sz w:val="24"/>
                <w:szCs w:val="24"/>
              </w:rPr>
              <w:lastRenderedPageBreak/>
              <w:t>see your advisor.</w:t>
            </w:r>
          </w:p>
          <w:p w:rsidR="00B00580" w:rsidRPr="00B00580" w:rsidRDefault="00B00580" w:rsidP="00B00580">
            <w:pPr>
              <w:rPr>
                <w:rFonts w:ascii="Tahoma" w:hAnsi="Tahoma" w:cs="Tahoma"/>
                <w:sz w:val="24"/>
                <w:szCs w:val="24"/>
              </w:rPr>
            </w:pPr>
          </w:p>
          <w:p w:rsidR="00B00580" w:rsidRPr="00B00580" w:rsidRDefault="00B00580" w:rsidP="00B00580">
            <w:pPr>
              <w:rPr>
                <w:rFonts w:ascii="Tahoma" w:hAnsi="Tahoma" w:cs="Tahoma"/>
                <w:sz w:val="24"/>
                <w:szCs w:val="24"/>
              </w:rPr>
            </w:pPr>
            <w:r w:rsidRPr="00B00580">
              <w:rPr>
                <w:rFonts w:ascii="Tahoma" w:hAnsi="Tahoma" w:cs="Tahoma"/>
                <w:sz w:val="24"/>
                <w:szCs w:val="24"/>
              </w:rPr>
              <w:t>PROGRAM FEE INFORMATION</w:t>
            </w:r>
          </w:p>
          <w:p w:rsidR="00A5552C" w:rsidRDefault="00B00580" w:rsidP="00B00580">
            <w:pPr>
              <w:rPr>
                <w:rFonts w:ascii="Tahoma" w:hAnsi="Tahoma" w:cs="Tahoma"/>
                <w:sz w:val="24"/>
                <w:szCs w:val="24"/>
              </w:rPr>
            </w:pPr>
            <w:r w:rsidRPr="00B00580">
              <w:rPr>
                <w:rFonts w:ascii="Tahoma" w:hAnsi="Tahoma" w:cs="Tahoma"/>
                <w:sz w:val="24"/>
                <w:szCs w:val="24"/>
              </w:rPr>
              <w:t>Program fees are established by the Arizona Board of Regents (ABOR). A program fee of $1600 ($400 per semester in students' Junior and Senior years) has been approved for this program.</w:t>
            </w:r>
          </w:p>
          <w:p w:rsidR="004E6CB8" w:rsidRDefault="004E6CB8" w:rsidP="00D20A7F">
            <w:pPr>
              <w:rPr>
                <w:rFonts w:ascii="Tahoma" w:hAnsi="Tahoma" w:cs="Tahoma"/>
                <w:sz w:val="24"/>
                <w:szCs w:val="24"/>
              </w:rPr>
            </w:pPr>
          </w:p>
          <w:p w:rsidR="0065207F" w:rsidRPr="0065207F" w:rsidRDefault="0065207F" w:rsidP="00C17563">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3E4F62" w:rsidRDefault="003E4F62" w:rsidP="003E4F62">
      <w:pPr>
        <w:shd w:val="clear" w:color="auto" w:fill="D9D9D9" w:themeFill="background1" w:themeFillShade="D9"/>
        <w:rPr>
          <w:rFonts w:ascii="Arial" w:hAnsi="Arial" w:cs="Arial"/>
          <w:b/>
          <w:sz w:val="24"/>
          <w:szCs w:val="24"/>
        </w:rPr>
      </w:pPr>
      <w:r w:rsidRPr="004C3273">
        <w:rPr>
          <w:rFonts w:ascii="Arial" w:hAnsi="Arial" w:cs="Arial"/>
          <w:b/>
          <w:sz w:val="24"/>
          <w:szCs w:val="24"/>
        </w:rPr>
        <w:t>The NAU School of Nursing is revising the traditional baccalaureate curriculum in an effort to improve graduate outcomes on the NLCEX-RN examination related to pathophysiology and in response to student feedback statewide requesting live instruction for these two courses.</w:t>
      </w:r>
    </w:p>
    <w:p w:rsidR="003E4F62" w:rsidRPr="004C3273" w:rsidRDefault="003E4F62" w:rsidP="003E4F62">
      <w:pPr>
        <w:shd w:val="clear" w:color="auto" w:fill="D9D9D9" w:themeFill="background1" w:themeFillShade="D9"/>
        <w:rPr>
          <w:rFonts w:ascii="Arial" w:hAnsi="Arial" w:cs="Arial"/>
          <w:b/>
          <w:sz w:val="24"/>
          <w:szCs w:val="24"/>
        </w:rPr>
      </w:pPr>
    </w:p>
    <w:p w:rsidR="003E4F62" w:rsidRDefault="003E4F62" w:rsidP="003E4F62">
      <w:pPr>
        <w:shd w:val="clear" w:color="auto" w:fill="D9D9D9" w:themeFill="background1" w:themeFillShade="D9"/>
        <w:rPr>
          <w:rFonts w:ascii="Arial" w:hAnsi="Arial" w:cs="Arial"/>
          <w:b/>
          <w:sz w:val="24"/>
          <w:szCs w:val="24"/>
        </w:rPr>
      </w:pPr>
      <w:r w:rsidRPr="004C3273">
        <w:rPr>
          <w:rFonts w:ascii="Arial" w:hAnsi="Arial" w:cs="Arial"/>
          <w:b/>
          <w:sz w:val="24"/>
          <w:szCs w:val="24"/>
        </w:rPr>
        <w:t>Currently students in the first semester of the NAU traditional baccalaureate nursing program take two separate, yet concurrent three credit hour courses NUR 215 (Pharmacology) and BIO 320 (Pathophysiology). We are proposing that these courses be merged &amp; taken in succession during the first semester of the traditional baccalaureate nursing program. Creation of these two courses does not change the total number of credit hours or the number of credit hours a student takes during the first semester. Concepts and content explored in Pathophysiology &amp; Pharmacology for Nursing Practice II will build upon the content and concepts explored in Pathophysiology &amp; Pharmacology for Nursing Practice I.</w:t>
      </w:r>
    </w:p>
    <w:p w:rsidR="003E4F62" w:rsidRPr="004C3273" w:rsidRDefault="003E4F62" w:rsidP="003E4F62">
      <w:pPr>
        <w:shd w:val="clear" w:color="auto" w:fill="D9D9D9" w:themeFill="background1" w:themeFillShade="D9"/>
        <w:rPr>
          <w:rFonts w:ascii="Arial" w:hAnsi="Arial" w:cs="Arial"/>
          <w:b/>
          <w:sz w:val="24"/>
          <w:szCs w:val="24"/>
        </w:rPr>
      </w:pPr>
    </w:p>
    <w:p w:rsidR="003E4F62" w:rsidRPr="004C3273" w:rsidRDefault="003E4F62" w:rsidP="003E4F62">
      <w:pPr>
        <w:shd w:val="clear" w:color="auto" w:fill="D9D9D9" w:themeFill="background1" w:themeFillShade="D9"/>
        <w:rPr>
          <w:rFonts w:ascii="Arial" w:hAnsi="Arial" w:cs="Arial"/>
          <w:b/>
          <w:sz w:val="24"/>
          <w:szCs w:val="24"/>
        </w:rPr>
      </w:pPr>
      <w:r w:rsidRPr="004C3273">
        <w:rPr>
          <w:rFonts w:ascii="Arial" w:hAnsi="Arial" w:cs="Arial"/>
          <w:b/>
          <w:sz w:val="24"/>
          <w:szCs w:val="24"/>
        </w:rPr>
        <w:t>The design of these two new courses is expected to enhance student competence, critical thinking, understanding and nursing application of the intertwined concepts between human pathophysiology and the intended effects of pharmacological agents. Currently NUR 215 and BIO 320 are offered in online formats. It is the intention of the NAU School of Nursing to incorporate a hybrid learning model that would include online and face-to-face instruction on each NAU School of Nursing campus for both newly created courses. This blended method of course delivery is being proposed directly in response to student requests for live instruction for pharmacology and pathophysiology content.</w:t>
      </w:r>
    </w:p>
    <w:p w:rsidR="00B00580" w:rsidRPr="00220D24" w:rsidRDefault="00B00580"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32C9B"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32C9B"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32C9B"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B00580" w:rsidRDefault="00B00580"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32C9B">
        <w:rPr>
          <w:rFonts w:ascii="Arial" w:hAnsi="Arial" w:cs="Arial"/>
          <w:sz w:val="24"/>
          <w:szCs w:val="24"/>
        </w:rPr>
        <w:fldChar w:fldCharType="begin">
          <w:ffData>
            <w:name w:val=""/>
            <w:enabled/>
            <w:calcOnExit w:val="0"/>
            <w:checkBox>
              <w:sizeAuto/>
              <w:default w:val="1"/>
            </w:checkBox>
          </w:ffData>
        </w:fldChar>
      </w:r>
      <w:r w:rsidR="00BD5289">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32C9B">
        <w:rPr>
          <w:rFonts w:ascii="Arial" w:hAnsi="Arial" w:cs="Arial"/>
          <w:sz w:val="24"/>
          <w:szCs w:val="24"/>
        </w:rPr>
        <w:fldChar w:fldCharType="begin">
          <w:ffData>
            <w:name w:val="Check5"/>
            <w:enabled/>
            <w:calcOnExit w:val="0"/>
            <w:checkBox>
              <w:sizeAuto/>
              <w:default w:val="0"/>
            </w:checkBox>
          </w:ffData>
        </w:fldChar>
      </w:r>
      <w:bookmarkStart w:id="3" w:name="Check5"/>
      <w:r w:rsidR="00BD5289">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8A2175" w:rsidRDefault="005626A6" w:rsidP="005626A6">
      <w:pPr>
        <w:shd w:val="clear" w:color="auto" w:fill="D9D9D9" w:themeFill="background1" w:themeFillShade="D9"/>
        <w:rPr>
          <w:rFonts w:ascii="Arial" w:hAnsi="Arial" w:cs="Arial"/>
          <w:b/>
          <w:sz w:val="24"/>
          <w:szCs w:val="24"/>
          <w:u w:val="single"/>
        </w:rPr>
      </w:pPr>
      <w:r w:rsidRPr="00BD094E">
        <w:rPr>
          <w:rFonts w:ascii="Arial" w:hAnsi="Arial" w:cs="Arial"/>
          <w:b/>
          <w:bCs/>
          <w:sz w:val="24"/>
          <w:szCs w:val="24"/>
        </w:rPr>
        <w:t>See attached notification to the BIO department</w:t>
      </w:r>
    </w:p>
    <w:p w:rsidR="005626A6" w:rsidRDefault="005626A6"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lastRenderedPageBreak/>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32C9B">
        <w:rPr>
          <w:rFonts w:ascii="Arial" w:hAnsi="Arial" w:cs="Arial"/>
          <w:sz w:val="24"/>
          <w:szCs w:val="24"/>
        </w:rPr>
        <w:fldChar w:fldCharType="begin">
          <w:ffData>
            <w:name w:val=""/>
            <w:enabled/>
            <w:calcOnExit w:val="0"/>
            <w:checkBox>
              <w:sizeAuto/>
              <w:default w:val="1"/>
            </w:checkBox>
          </w:ffData>
        </w:fldChar>
      </w:r>
      <w:r w:rsidR="00511D6E">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Pr>
          <w:rFonts w:ascii="Arial" w:hAnsi="Arial" w:cs="Arial"/>
          <w:sz w:val="24"/>
          <w:szCs w:val="24"/>
        </w:rPr>
        <w:fldChar w:fldCharType="end"/>
      </w:r>
      <w:r w:rsidRPr="002B1A53">
        <w:rPr>
          <w:rFonts w:ascii="Arial" w:hAnsi="Arial" w:cs="Arial"/>
          <w:sz w:val="24"/>
          <w:szCs w:val="24"/>
        </w:rPr>
        <w:t xml:space="preserve">      No </w:t>
      </w:r>
      <w:r w:rsidR="00932C9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8B41B2">
        <w:rPr>
          <w:rFonts w:ascii="Arial" w:hAnsi="Arial" w:cs="Arial"/>
          <w:sz w:val="24"/>
          <w:szCs w:val="24"/>
        </w:rPr>
        <w:t xml:space="preserve"> </w:t>
      </w:r>
      <w:r>
        <w:rPr>
          <w:rFonts w:ascii="Arial" w:hAnsi="Arial" w:cs="Arial"/>
          <w:sz w:val="24"/>
          <w:szCs w:val="24"/>
        </w:rPr>
        <w:t xml:space="preserve">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932C9B">
        <w:rPr>
          <w:rFonts w:ascii="Arial" w:hAnsi="Arial" w:cs="Arial"/>
          <w:sz w:val="24"/>
          <w:szCs w:val="24"/>
        </w:rPr>
        <w:fldChar w:fldCharType="begin">
          <w:ffData>
            <w:name w:val=""/>
            <w:enabled/>
            <w:calcOnExit w:val="0"/>
            <w:checkBox>
              <w:sizeAuto/>
              <w:default w:val="0"/>
            </w:checkBox>
          </w:ffData>
        </w:fldChar>
      </w:r>
      <w:r w:rsidR="00511D6E">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Pr>
          <w:rFonts w:ascii="Arial" w:hAnsi="Arial" w:cs="Arial"/>
          <w:sz w:val="24"/>
          <w:szCs w:val="24"/>
        </w:rPr>
        <w:fldChar w:fldCharType="end"/>
      </w:r>
      <w:r w:rsidRPr="002B1A53">
        <w:rPr>
          <w:rFonts w:ascii="Arial" w:hAnsi="Arial" w:cs="Arial"/>
          <w:sz w:val="24"/>
          <w:szCs w:val="24"/>
        </w:rPr>
        <w:t xml:space="preserve">      No </w:t>
      </w:r>
      <w:r w:rsidR="00932C9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32C9B"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2B1A53">
        <w:rPr>
          <w:rFonts w:ascii="Arial" w:hAnsi="Arial" w:cs="Arial"/>
          <w:sz w:val="24"/>
          <w:szCs w:val="24"/>
        </w:rPr>
        <w:fldChar w:fldCharType="end"/>
      </w:r>
      <w:r w:rsidRPr="002B1A53">
        <w:rPr>
          <w:rFonts w:ascii="Arial" w:hAnsi="Arial" w:cs="Arial"/>
          <w:sz w:val="24"/>
          <w:szCs w:val="24"/>
        </w:rPr>
        <w:t xml:space="preserve">      No </w:t>
      </w:r>
      <w:r w:rsidR="00932C9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32C9B"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2B1A53">
        <w:rPr>
          <w:rFonts w:ascii="Arial" w:hAnsi="Arial" w:cs="Arial"/>
          <w:sz w:val="24"/>
          <w:szCs w:val="24"/>
        </w:rPr>
        <w:fldChar w:fldCharType="end"/>
      </w:r>
      <w:r w:rsidRPr="002B1A53">
        <w:rPr>
          <w:rFonts w:ascii="Arial" w:hAnsi="Arial" w:cs="Arial"/>
          <w:sz w:val="24"/>
          <w:szCs w:val="24"/>
        </w:rPr>
        <w:t xml:space="preserve">      No </w:t>
      </w:r>
      <w:r w:rsidR="00932C9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B00580">
            <w:pPr>
              <w:rPr>
                <w:rFonts w:ascii="Arial" w:hAnsi="Arial" w:cs="Arial"/>
                <w:b/>
                <w:sz w:val="24"/>
                <w:szCs w:val="24"/>
              </w:rPr>
            </w:pPr>
            <w:r>
              <w:rPr>
                <w:rFonts w:ascii="Arial" w:hAnsi="Arial" w:cs="Arial"/>
                <w:b/>
                <w:sz w:val="24"/>
                <w:szCs w:val="24"/>
              </w:rPr>
              <w:t>1</w:t>
            </w:r>
            <w:r w:rsidR="008B41B2">
              <w:rPr>
                <w:rFonts w:ascii="Arial" w:hAnsi="Arial" w:cs="Arial"/>
                <w:b/>
                <w:sz w:val="24"/>
                <w:szCs w:val="24"/>
              </w:rPr>
              <w:t>1/6</w:t>
            </w:r>
            <w:r w:rsidR="00B00580">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32C9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r w:rsidRPr="00313AE8">
        <w:rPr>
          <w:rFonts w:ascii="Arial" w:hAnsi="Arial" w:cs="Arial"/>
          <w:sz w:val="24"/>
          <w:szCs w:val="24"/>
        </w:rPr>
        <w:t xml:space="preserve">     No  </w:t>
      </w:r>
      <w:r w:rsidR="00932C9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32C9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32C9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32C9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r w:rsidRPr="00313AE8">
        <w:rPr>
          <w:rFonts w:ascii="Arial" w:hAnsi="Arial" w:cs="Arial"/>
          <w:sz w:val="24"/>
          <w:szCs w:val="24"/>
        </w:rPr>
        <w:t xml:space="preserve">     No  </w:t>
      </w:r>
      <w:r w:rsidR="00932C9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32C9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32C9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2C9B">
        <w:rPr>
          <w:rFonts w:ascii="Arial" w:hAnsi="Arial" w:cs="Arial"/>
          <w:sz w:val="24"/>
          <w:szCs w:val="24"/>
        </w:rPr>
      </w:r>
      <w:r w:rsidR="00932C9B">
        <w:rPr>
          <w:rFonts w:ascii="Arial" w:hAnsi="Arial" w:cs="Arial"/>
          <w:sz w:val="24"/>
          <w:szCs w:val="24"/>
        </w:rPr>
        <w:fldChar w:fldCharType="separate"/>
      </w:r>
      <w:r w:rsidR="00932C9B" w:rsidRPr="00313AE8">
        <w:rPr>
          <w:rFonts w:ascii="Arial" w:hAnsi="Arial" w:cs="Arial"/>
          <w:sz w:val="24"/>
          <w:szCs w:val="24"/>
        </w:rPr>
        <w:fldChar w:fldCharType="end"/>
      </w:r>
    </w:p>
    <w:p w:rsidR="008A2175" w:rsidRDefault="008A2175">
      <w:pPr>
        <w:rPr>
          <w:rFonts w:ascii="Arial" w:hAnsi="Arial" w:cs="Arial"/>
          <w:sz w:val="24"/>
          <w:szCs w:val="24"/>
        </w:rPr>
      </w:pPr>
    </w:p>
    <w:p w:rsidR="008A2175" w:rsidRDefault="008A2175">
      <w:pPr>
        <w:rPr>
          <w:rFonts w:ascii="Arial" w:hAnsi="Arial" w:cs="Arial"/>
          <w:sz w:val="24"/>
          <w:szCs w:val="24"/>
        </w:rPr>
      </w:pPr>
    </w:p>
    <w:p w:rsidR="008A2175" w:rsidRDefault="008A2175" w:rsidP="008A2175">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Maribeth Watwood </w:t>
      </w:r>
      <w:r>
        <w:rPr>
          <w:rFonts w:ascii="Tahoma" w:hAnsi="Tahoma" w:cs="Tahoma"/>
        </w:rPr>
        <w:br/>
      </w:r>
      <w:r>
        <w:rPr>
          <w:rFonts w:ascii="Tahoma" w:hAnsi="Tahoma" w:cs="Tahoma"/>
          <w:b/>
          <w:bCs/>
        </w:rPr>
        <w:t>Sent:</w:t>
      </w:r>
      <w:r>
        <w:rPr>
          <w:rFonts w:ascii="Tahoma" w:hAnsi="Tahoma" w:cs="Tahoma"/>
        </w:rPr>
        <w:t xml:space="preserve"> Wednesday, November 06, 2013 10:50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Cc:</w:t>
      </w:r>
      <w:r>
        <w:rPr>
          <w:rFonts w:ascii="Tahoma" w:hAnsi="Tahoma" w:cs="Tahoma"/>
        </w:rPr>
        <w:t xml:space="preserve"> Teresa Del Vecchio Lane</w:t>
      </w:r>
      <w:r>
        <w:rPr>
          <w:rFonts w:ascii="Tahoma" w:hAnsi="Tahoma" w:cs="Tahoma"/>
        </w:rPr>
        <w:br/>
      </w:r>
      <w:r>
        <w:rPr>
          <w:rFonts w:ascii="Tahoma" w:hAnsi="Tahoma" w:cs="Tahoma"/>
          <w:b/>
          <w:bCs/>
        </w:rPr>
        <w:t>Subject:</w:t>
      </w:r>
      <w:r>
        <w:rPr>
          <w:rFonts w:ascii="Tahoma" w:hAnsi="Tahoma" w:cs="Tahoma"/>
        </w:rPr>
        <w:t xml:space="preserve"> RE: Proposed changes to the Nursing BSN (traditional)</w:t>
      </w:r>
    </w:p>
    <w:p w:rsidR="008A2175" w:rsidRDefault="008A2175" w:rsidP="008A2175">
      <w:pPr>
        <w:shd w:val="clear" w:color="auto" w:fill="DDD9C3" w:themeFill="background2" w:themeFillShade="E6"/>
        <w:rPr>
          <w:rFonts w:ascii="Calibri" w:eastAsiaTheme="minorHAnsi" w:hAnsi="Calibri"/>
          <w:sz w:val="22"/>
          <w:szCs w:val="22"/>
        </w:rPr>
      </w:pPr>
    </w:p>
    <w:p w:rsidR="008A2175" w:rsidRDefault="008A2175" w:rsidP="008A2175">
      <w:pPr>
        <w:shd w:val="clear" w:color="auto" w:fill="DDD9C3" w:themeFill="background2" w:themeFillShade="E6"/>
        <w:rPr>
          <w:color w:val="1F497D"/>
        </w:rPr>
      </w:pPr>
      <w:r>
        <w:rPr>
          <w:color w:val="1F497D"/>
        </w:rPr>
        <w:t>Got it – Thanks!</w:t>
      </w:r>
    </w:p>
    <w:p w:rsidR="008A2175" w:rsidRDefault="008A2175" w:rsidP="008A2175">
      <w:pPr>
        <w:shd w:val="clear" w:color="auto" w:fill="DDD9C3" w:themeFill="background2" w:themeFillShade="E6"/>
        <w:rPr>
          <w:color w:val="1F497D"/>
        </w:rPr>
      </w:pPr>
    </w:p>
    <w:p w:rsidR="008A2175" w:rsidRDefault="008A2175" w:rsidP="008A2175">
      <w:pPr>
        <w:shd w:val="clear" w:color="auto" w:fill="DDD9C3" w:themeFill="background2" w:themeFillShade="E6"/>
        <w:rPr>
          <w:color w:val="1F497D"/>
        </w:rPr>
      </w:pPr>
      <w:r>
        <w:rPr>
          <w:color w:val="1F497D"/>
        </w:rPr>
        <w:t>Maribeth Watwood, Ph.D.</w:t>
      </w:r>
    </w:p>
    <w:p w:rsidR="008A2175" w:rsidRDefault="008A2175" w:rsidP="008A2175">
      <w:pPr>
        <w:shd w:val="clear" w:color="auto" w:fill="DDD9C3" w:themeFill="background2" w:themeFillShade="E6"/>
        <w:rPr>
          <w:color w:val="1F497D"/>
        </w:rPr>
      </w:pPr>
      <w:r>
        <w:rPr>
          <w:color w:val="1F497D"/>
        </w:rPr>
        <w:t>Chair, Department of Biological Sciences</w:t>
      </w:r>
    </w:p>
    <w:p w:rsidR="008A2175" w:rsidRDefault="008A2175" w:rsidP="008A2175">
      <w:pPr>
        <w:shd w:val="clear" w:color="auto" w:fill="DDD9C3" w:themeFill="background2" w:themeFillShade="E6"/>
        <w:rPr>
          <w:color w:val="1F497D"/>
        </w:rPr>
      </w:pPr>
      <w:r>
        <w:rPr>
          <w:color w:val="1F497D"/>
        </w:rPr>
        <w:t>Northern Arizona University</w:t>
      </w:r>
    </w:p>
    <w:p w:rsidR="008A2175" w:rsidRDefault="008A2175" w:rsidP="008A2175">
      <w:pPr>
        <w:shd w:val="clear" w:color="auto" w:fill="DDD9C3" w:themeFill="background2" w:themeFillShade="E6"/>
        <w:rPr>
          <w:color w:val="1F497D"/>
        </w:rPr>
      </w:pPr>
      <w:r>
        <w:rPr>
          <w:color w:val="1F497D"/>
        </w:rPr>
        <w:t>Flagstaff, AZ 86011-5640</w:t>
      </w:r>
    </w:p>
    <w:p w:rsidR="008A2175" w:rsidRDefault="008A2175" w:rsidP="008A2175">
      <w:pPr>
        <w:shd w:val="clear" w:color="auto" w:fill="DDD9C3" w:themeFill="background2" w:themeFillShade="E6"/>
        <w:rPr>
          <w:color w:val="1F497D"/>
        </w:rPr>
      </w:pPr>
    </w:p>
    <w:p w:rsidR="008A2175" w:rsidRDefault="008A2175" w:rsidP="008A2175">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Wednesday, November 06, 2013 10:50 AM</w:t>
      </w:r>
      <w:r>
        <w:rPr>
          <w:rFonts w:ascii="Tahoma" w:hAnsi="Tahoma" w:cs="Tahoma"/>
        </w:rPr>
        <w:br/>
      </w:r>
      <w:r>
        <w:rPr>
          <w:rFonts w:ascii="Tahoma" w:hAnsi="Tahoma" w:cs="Tahoma"/>
          <w:b/>
          <w:bCs/>
        </w:rPr>
        <w:t>To:</w:t>
      </w:r>
      <w:r>
        <w:rPr>
          <w:rFonts w:ascii="Tahoma" w:hAnsi="Tahoma" w:cs="Tahoma"/>
        </w:rPr>
        <w:t xml:space="preserve"> Maribeth Watwood</w:t>
      </w:r>
      <w:r>
        <w:rPr>
          <w:rFonts w:ascii="Tahoma" w:hAnsi="Tahoma" w:cs="Tahoma"/>
        </w:rPr>
        <w:br/>
      </w:r>
      <w:r>
        <w:rPr>
          <w:rFonts w:ascii="Tahoma" w:hAnsi="Tahoma" w:cs="Tahoma"/>
          <w:b/>
          <w:bCs/>
        </w:rPr>
        <w:t>Subject:</w:t>
      </w:r>
      <w:r>
        <w:rPr>
          <w:rFonts w:ascii="Tahoma" w:hAnsi="Tahoma" w:cs="Tahoma"/>
        </w:rPr>
        <w:t xml:space="preserve"> RE: Proposed changes to the Nursing BSN (traditional)</w:t>
      </w:r>
    </w:p>
    <w:p w:rsidR="008A2175" w:rsidRDefault="008A2175" w:rsidP="008A2175">
      <w:pPr>
        <w:shd w:val="clear" w:color="auto" w:fill="DDD9C3" w:themeFill="background2" w:themeFillShade="E6"/>
        <w:rPr>
          <w:rFonts w:ascii="Calibri" w:hAnsi="Calibri"/>
          <w:sz w:val="22"/>
          <w:szCs w:val="22"/>
        </w:rPr>
      </w:pPr>
    </w:p>
    <w:p w:rsidR="008A2175" w:rsidRDefault="008A2175" w:rsidP="008A2175">
      <w:pPr>
        <w:shd w:val="clear" w:color="auto" w:fill="DDD9C3" w:themeFill="background2" w:themeFillShade="E6"/>
        <w:rPr>
          <w:color w:val="1F497D"/>
        </w:rPr>
      </w:pPr>
      <w:r>
        <w:rPr>
          <w:color w:val="1F497D"/>
        </w:rPr>
        <w:t xml:space="preserve">Hi, </w:t>
      </w:r>
    </w:p>
    <w:p w:rsidR="008A2175" w:rsidRDefault="008A2175" w:rsidP="008A2175">
      <w:pPr>
        <w:shd w:val="clear" w:color="auto" w:fill="DDD9C3" w:themeFill="background2" w:themeFillShade="E6"/>
        <w:rPr>
          <w:color w:val="1F497D"/>
        </w:rPr>
      </w:pPr>
      <w:r>
        <w:rPr>
          <w:color w:val="1F497D"/>
        </w:rPr>
        <w:t>No action required.  The course content (along with NUR 215) is being merged into two new courses; NUR 371, 373</w:t>
      </w:r>
    </w:p>
    <w:p w:rsidR="008A2175" w:rsidRDefault="008A2175" w:rsidP="008A2175">
      <w:pPr>
        <w:shd w:val="clear" w:color="auto" w:fill="DDD9C3" w:themeFill="background2" w:themeFillShade="E6"/>
        <w:rPr>
          <w:color w:val="1F497D"/>
        </w:rPr>
      </w:pPr>
    </w:p>
    <w:p w:rsidR="008A2175" w:rsidRDefault="008A2175" w:rsidP="008A2175">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8A2175" w:rsidRDefault="008A2175" w:rsidP="008A2175">
      <w:pPr>
        <w:shd w:val="clear" w:color="auto" w:fill="DDD9C3" w:themeFill="background2" w:themeFillShade="E6"/>
        <w:rPr>
          <w:rFonts w:ascii="Calibri" w:hAnsi="Calibri"/>
          <w:color w:val="1F497D"/>
          <w:sz w:val="22"/>
          <w:szCs w:val="22"/>
        </w:rPr>
      </w:pPr>
      <w:r>
        <w:rPr>
          <w:color w:val="1F497D"/>
        </w:rPr>
        <w:t>Curriculum Process Associate</w:t>
      </w:r>
    </w:p>
    <w:p w:rsidR="008A2175" w:rsidRDefault="008A2175" w:rsidP="008A2175">
      <w:pPr>
        <w:shd w:val="clear" w:color="auto" w:fill="DDD9C3" w:themeFill="background2" w:themeFillShade="E6"/>
        <w:rPr>
          <w:color w:val="1F497D"/>
        </w:rPr>
      </w:pPr>
      <w:r>
        <w:rPr>
          <w:color w:val="1F497D"/>
        </w:rPr>
        <w:t>Office of Curriculum, Learning Design, and Academic Assessment</w:t>
      </w:r>
    </w:p>
    <w:p w:rsidR="008A2175" w:rsidRDefault="008A2175" w:rsidP="008A2175">
      <w:pPr>
        <w:shd w:val="clear" w:color="auto" w:fill="DDD9C3" w:themeFill="background2" w:themeFillShade="E6"/>
        <w:rPr>
          <w:color w:val="1F497D"/>
        </w:rPr>
      </w:pPr>
      <w:r>
        <w:rPr>
          <w:color w:val="1F497D"/>
        </w:rPr>
        <w:t>928-523-1753</w:t>
      </w:r>
    </w:p>
    <w:p w:rsidR="008A2175" w:rsidRDefault="008A2175" w:rsidP="008A2175">
      <w:pPr>
        <w:shd w:val="clear" w:color="auto" w:fill="DDD9C3" w:themeFill="background2" w:themeFillShade="E6"/>
        <w:rPr>
          <w:color w:val="1F497D"/>
        </w:rPr>
      </w:pPr>
      <w:r>
        <w:rPr>
          <w:color w:val="1F497D"/>
        </w:rPr>
        <w:t>928-699-9147 (cell)</w:t>
      </w:r>
    </w:p>
    <w:p w:rsidR="008A2175" w:rsidRDefault="00932C9B" w:rsidP="008A2175">
      <w:pPr>
        <w:shd w:val="clear" w:color="auto" w:fill="DDD9C3" w:themeFill="background2" w:themeFillShade="E6"/>
        <w:rPr>
          <w:color w:val="1F497D"/>
        </w:rPr>
      </w:pPr>
      <w:hyperlink r:id="rId17" w:history="1">
        <w:r w:rsidR="008A2175">
          <w:rPr>
            <w:rStyle w:val="Hyperlink"/>
          </w:rPr>
          <w:t>scott.galland@nau.edu</w:t>
        </w:r>
      </w:hyperlink>
    </w:p>
    <w:p w:rsidR="008A2175" w:rsidRDefault="008A2175" w:rsidP="008A2175">
      <w:pPr>
        <w:shd w:val="clear" w:color="auto" w:fill="DDD9C3" w:themeFill="background2" w:themeFillShade="E6"/>
        <w:rPr>
          <w:color w:val="1F497D"/>
        </w:rPr>
      </w:pPr>
    </w:p>
    <w:p w:rsidR="008A2175" w:rsidRDefault="008A2175" w:rsidP="008A2175">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Maribeth Watwood </w:t>
      </w:r>
      <w:r>
        <w:rPr>
          <w:rFonts w:ascii="Tahoma" w:hAnsi="Tahoma" w:cs="Tahoma"/>
        </w:rPr>
        <w:br/>
      </w:r>
      <w:r>
        <w:rPr>
          <w:rFonts w:ascii="Tahoma" w:hAnsi="Tahoma" w:cs="Tahoma"/>
          <w:b/>
          <w:bCs/>
        </w:rPr>
        <w:t>Sent:</w:t>
      </w:r>
      <w:r>
        <w:rPr>
          <w:rFonts w:ascii="Tahoma" w:hAnsi="Tahoma" w:cs="Tahoma"/>
        </w:rPr>
        <w:t xml:space="preserve"> Wednesday, November 06, 2013 10:47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Cc:</w:t>
      </w:r>
      <w:r>
        <w:rPr>
          <w:rFonts w:ascii="Tahoma" w:hAnsi="Tahoma" w:cs="Tahoma"/>
        </w:rPr>
        <w:t xml:space="preserve"> Teresa Del Vecchio Lane</w:t>
      </w:r>
      <w:r>
        <w:rPr>
          <w:rFonts w:ascii="Tahoma" w:hAnsi="Tahoma" w:cs="Tahoma"/>
        </w:rPr>
        <w:br/>
      </w:r>
      <w:r>
        <w:rPr>
          <w:rFonts w:ascii="Tahoma" w:hAnsi="Tahoma" w:cs="Tahoma"/>
          <w:b/>
          <w:bCs/>
        </w:rPr>
        <w:t>Subject:</w:t>
      </w:r>
      <w:r>
        <w:rPr>
          <w:rFonts w:ascii="Tahoma" w:hAnsi="Tahoma" w:cs="Tahoma"/>
        </w:rPr>
        <w:t xml:space="preserve"> RE: Proposed changes to the Nursing BSN (traditional)</w:t>
      </w:r>
    </w:p>
    <w:p w:rsidR="008A2175" w:rsidRDefault="008A2175" w:rsidP="008A2175">
      <w:pPr>
        <w:shd w:val="clear" w:color="auto" w:fill="DDD9C3" w:themeFill="background2" w:themeFillShade="E6"/>
        <w:rPr>
          <w:rFonts w:ascii="Calibri" w:hAnsi="Calibri"/>
          <w:sz w:val="22"/>
          <w:szCs w:val="22"/>
        </w:rPr>
      </w:pPr>
    </w:p>
    <w:p w:rsidR="008A2175" w:rsidRDefault="008A2175" w:rsidP="008A2175">
      <w:pPr>
        <w:shd w:val="clear" w:color="auto" w:fill="DDD9C3" w:themeFill="background2" w:themeFillShade="E6"/>
        <w:rPr>
          <w:color w:val="1F497D"/>
        </w:rPr>
      </w:pPr>
      <w:r>
        <w:rPr>
          <w:color w:val="1F497D"/>
        </w:rPr>
        <w:t>Hi Scott – Is there any action required on my part?  Do you know why they want to remove the requirement?  Thank you kindly! Mb</w:t>
      </w:r>
    </w:p>
    <w:p w:rsidR="008A2175" w:rsidRDefault="008A2175" w:rsidP="008A2175">
      <w:pPr>
        <w:shd w:val="clear" w:color="auto" w:fill="DDD9C3" w:themeFill="background2" w:themeFillShade="E6"/>
        <w:rPr>
          <w:color w:val="1F497D"/>
        </w:rPr>
      </w:pPr>
    </w:p>
    <w:p w:rsidR="008A2175" w:rsidRDefault="008A2175" w:rsidP="008A2175">
      <w:pPr>
        <w:shd w:val="clear" w:color="auto" w:fill="DDD9C3" w:themeFill="background2" w:themeFillShade="E6"/>
        <w:rPr>
          <w:color w:val="1F497D"/>
        </w:rPr>
      </w:pPr>
      <w:r>
        <w:rPr>
          <w:color w:val="1F497D"/>
        </w:rPr>
        <w:t>Maribeth Watwood, Ph.D.</w:t>
      </w:r>
    </w:p>
    <w:p w:rsidR="008A2175" w:rsidRDefault="008A2175" w:rsidP="008A2175">
      <w:pPr>
        <w:shd w:val="clear" w:color="auto" w:fill="DDD9C3" w:themeFill="background2" w:themeFillShade="E6"/>
        <w:rPr>
          <w:color w:val="1F497D"/>
        </w:rPr>
      </w:pPr>
      <w:r>
        <w:rPr>
          <w:color w:val="1F497D"/>
        </w:rPr>
        <w:t>Chair, Department of Biological Sciences</w:t>
      </w:r>
    </w:p>
    <w:p w:rsidR="008A2175" w:rsidRDefault="008A2175" w:rsidP="008A2175">
      <w:pPr>
        <w:shd w:val="clear" w:color="auto" w:fill="DDD9C3" w:themeFill="background2" w:themeFillShade="E6"/>
        <w:rPr>
          <w:color w:val="1F497D"/>
        </w:rPr>
      </w:pPr>
      <w:r>
        <w:rPr>
          <w:color w:val="1F497D"/>
        </w:rPr>
        <w:t>Northern Arizona University</w:t>
      </w:r>
    </w:p>
    <w:p w:rsidR="008A2175" w:rsidRDefault="008A2175" w:rsidP="008A2175">
      <w:pPr>
        <w:shd w:val="clear" w:color="auto" w:fill="DDD9C3" w:themeFill="background2" w:themeFillShade="E6"/>
        <w:rPr>
          <w:color w:val="1F497D"/>
        </w:rPr>
      </w:pPr>
      <w:r>
        <w:rPr>
          <w:color w:val="1F497D"/>
        </w:rPr>
        <w:t>Flagstaff, AZ 86011-5640</w:t>
      </w:r>
    </w:p>
    <w:p w:rsidR="008A2175" w:rsidRDefault="008A2175" w:rsidP="008A2175">
      <w:pPr>
        <w:shd w:val="clear" w:color="auto" w:fill="DDD9C3" w:themeFill="background2" w:themeFillShade="E6"/>
        <w:rPr>
          <w:color w:val="1F497D"/>
        </w:rPr>
      </w:pPr>
    </w:p>
    <w:p w:rsidR="008A2175" w:rsidRDefault="008A2175" w:rsidP="008A2175">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Wednesday, November 06, 2013 10:46 AM</w:t>
      </w:r>
      <w:r>
        <w:rPr>
          <w:rFonts w:ascii="Tahoma" w:hAnsi="Tahoma" w:cs="Tahoma"/>
        </w:rPr>
        <w:br/>
      </w:r>
      <w:r>
        <w:rPr>
          <w:rFonts w:ascii="Tahoma" w:hAnsi="Tahoma" w:cs="Tahoma"/>
          <w:b/>
          <w:bCs/>
        </w:rPr>
        <w:t>To:</w:t>
      </w:r>
      <w:r>
        <w:rPr>
          <w:rFonts w:ascii="Tahoma" w:hAnsi="Tahoma" w:cs="Tahoma"/>
        </w:rPr>
        <w:t xml:space="preserve"> Maribeth Watwood</w:t>
      </w:r>
      <w:r>
        <w:rPr>
          <w:rFonts w:ascii="Tahoma" w:hAnsi="Tahoma" w:cs="Tahoma"/>
        </w:rPr>
        <w:br/>
      </w:r>
      <w:r>
        <w:rPr>
          <w:rFonts w:ascii="Tahoma" w:hAnsi="Tahoma" w:cs="Tahoma"/>
          <w:b/>
          <w:bCs/>
        </w:rPr>
        <w:t>Subject:</w:t>
      </w:r>
      <w:r>
        <w:rPr>
          <w:rFonts w:ascii="Tahoma" w:hAnsi="Tahoma" w:cs="Tahoma"/>
        </w:rPr>
        <w:t xml:space="preserve"> Proposed changes to the Nursing BSN (traditional)</w:t>
      </w:r>
    </w:p>
    <w:p w:rsidR="008A2175" w:rsidRDefault="008A2175" w:rsidP="008A2175">
      <w:pPr>
        <w:shd w:val="clear" w:color="auto" w:fill="DDD9C3" w:themeFill="background2" w:themeFillShade="E6"/>
        <w:rPr>
          <w:rFonts w:ascii="Calibri" w:hAnsi="Calibri"/>
          <w:sz w:val="22"/>
          <w:szCs w:val="22"/>
        </w:rPr>
      </w:pPr>
    </w:p>
    <w:p w:rsidR="008A2175" w:rsidRDefault="008A2175" w:rsidP="008A2175">
      <w:pPr>
        <w:shd w:val="clear" w:color="auto" w:fill="DDD9C3" w:themeFill="background2" w:themeFillShade="E6"/>
      </w:pPr>
      <w:r>
        <w:t xml:space="preserve">HI Maribeth, </w:t>
      </w:r>
    </w:p>
    <w:p w:rsidR="008A2175" w:rsidRDefault="008A2175" w:rsidP="008A2175">
      <w:pPr>
        <w:shd w:val="clear" w:color="auto" w:fill="DDD9C3" w:themeFill="background2" w:themeFillShade="E6"/>
        <w:rPr>
          <w:rFonts w:ascii="Calibri" w:eastAsiaTheme="minorHAnsi" w:hAnsi="Calibri"/>
          <w:sz w:val="22"/>
          <w:szCs w:val="22"/>
        </w:rPr>
      </w:pPr>
      <w:r>
        <w:t>This message is to notify you that the Nursing department is proposing to remove BIO 320 from the BSN requirements.</w:t>
      </w:r>
    </w:p>
    <w:p w:rsidR="008A2175" w:rsidRDefault="008A2175" w:rsidP="008A2175">
      <w:pPr>
        <w:shd w:val="clear" w:color="auto" w:fill="DDD9C3" w:themeFill="background2" w:themeFillShade="E6"/>
      </w:pPr>
      <w:r>
        <w:t>Thank you,</w:t>
      </w:r>
    </w:p>
    <w:p w:rsidR="008A2175" w:rsidRDefault="008A2175" w:rsidP="008A2175">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8A2175" w:rsidRDefault="008A2175" w:rsidP="008A2175">
      <w:pPr>
        <w:shd w:val="clear" w:color="auto" w:fill="DDD9C3" w:themeFill="background2" w:themeFillShade="E6"/>
        <w:rPr>
          <w:rFonts w:ascii="Calibri" w:hAnsi="Calibri"/>
          <w:color w:val="1F497D"/>
          <w:sz w:val="22"/>
          <w:szCs w:val="22"/>
        </w:rPr>
      </w:pPr>
      <w:r>
        <w:rPr>
          <w:color w:val="1F497D"/>
        </w:rPr>
        <w:t>Curriculum Process Associate</w:t>
      </w:r>
    </w:p>
    <w:p w:rsidR="008A2175" w:rsidRDefault="008A2175" w:rsidP="008A2175">
      <w:pPr>
        <w:shd w:val="clear" w:color="auto" w:fill="DDD9C3" w:themeFill="background2" w:themeFillShade="E6"/>
        <w:rPr>
          <w:color w:val="1F497D"/>
        </w:rPr>
      </w:pPr>
      <w:r>
        <w:rPr>
          <w:color w:val="1F497D"/>
        </w:rPr>
        <w:t>Office of Curriculum, Learning Design, and Academic Assessment</w:t>
      </w:r>
    </w:p>
    <w:p w:rsidR="008A2175" w:rsidRDefault="008A2175" w:rsidP="008A2175">
      <w:pPr>
        <w:shd w:val="clear" w:color="auto" w:fill="DDD9C3" w:themeFill="background2" w:themeFillShade="E6"/>
        <w:rPr>
          <w:color w:val="1F497D"/>
        </w:rPr>
      </w:pPr>
      <w:r>
        <w:rPr>
          <w:color w:val="1F497D"/>
        </w:rPr>
        <w:t>928-523-1753</w:t>
      </w:r>
    </w:p>
    <w:p w:rsidR="008A2175" w:rsidRDefault="008A2175" w:rsidP="008A2175">
      <w:pPr>
        <w:shd w:val="clear" w:color="auto" w:fill="DDD9C3" w:themeFill="background2" w:themeFillShade="E6"/>
        <w:rPr>
          <w:color w:val="1F497D"/>
        </w:rPr>
      </w:pPr>
      <w:r>
        <w:rPr>
          <w:color w:val="1F497D"/>
        </w:rPr>
        <w:t>928-699-9147 (cell)</w:t>
      </w:r>
    </w:p>
    <w:p w:rsidR="008A2175" w:rsidRDefault="00932C9B" w:rsidP="008A2175">
      <w:pPr>
        <w:shd w:val="clear" w:color="auto" w:fill="DDD9C3" w:themeFill="background2" w:themeFillShade="E6"/>
        <w:rPr>
          <w:color w:val="1F497D"/>
        </w:rPr>
      </w:pPr>
      <w:hyperlink r:id="rId18" w:history="1">
        <w:r w:rsidR="008A2175">
          <w:rPr>
            <w:rStyle w:val="Hyperlink"/>
          </w:rPr>
          <w:t>scott.galland@nau.edu</w:t>
        </w:r>
      </w:hyperlink>
    </w:p>
    <w:p w:rsidR="008A2175" w:rsidRPr="00350A98" w:rsidRDefault="008A2175">
      <w:pPr>
        <w:rPr>
          <w:rFonts w:ascii="Arial" w:hAnsi="Arial" w:cs="Arial"/>
          <w:sz w:val="24"/>
          <w:szCs w:val="24"/>
        </w:rPr>
      </w:pPr>
    </w:p>
    <w:sectPr w:rsidR="008A2175" w:rsidRPr="00350A98" w:rsidSect="001A02A7">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FB" w:rsidRDefault="007A7EFB" w:rsidP="00233561">
      <w:r>
        <w:separator/>
      </w:r>
    </w:p>
  </w:endnote>
  <w:endnote w:type="continuationSeparator" w:id="0">
    <w:p w:rsidR="007A7EFB" w:rsidRDefault="007A7EFB" w:rsidP="002335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FB" w:rsidRDefault="00932C9B">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7A7EFB">
      <w:rPr>
        <w:color w:val="4F81BD" w:themeColor="accent1"/>
      </w:rPr>
      <w:t>Effective Fall 2013</w:t>
    </w: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FB" w:rsidRDefault="007A7EFB" w:rsidP="00233561">
      <w:r>
        <w:separator/>
      </w:r>
    </w:p>
  </w:footnote>
  <w:footnote w:type="continuationSeparator" w:id="0">
    <w:p w:rsidR="007A7EFB" w:rsidRDefault="007A7EFB"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092C"/>
    <w:multiLevelType w:val="hybridMultilevel"/>
    <w:tmpl w:val="2776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B229E"/>
    <w:multiLevelType w:val="hybridMultilevel"/>
    <w:tmpl w:val="EAF6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F5BD3"/>
    <w:multiLevelType w:val="hybridMultilevel"/>
    <w:tmpl w:val="C97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A637E2"/>
    <w:multiLevelType w:val="hybridMultilevel"/>
    <w:tmpl w:val="3904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4F6746"/>
    <w:multiLevelType w:val="hybridMultilevel"/>
    <w:tmpl w:val="8572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E6A83"/>
    <w:multiLevelType w:val="hybridMultilevel"/>
    <w:tmpl w:val="F03C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AD2C7D"/>
    <w:multiLevelType w:val="hybridMultilevel"/>
    <w:tmpl w:val="F0C4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745B1"/>
    <w:multiLevelType w:val="hybridMultilevel"/>
    <w:tmpl w:val="B212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6"/>
  </w:num>
  <w:num w:numId="4">
    <w:abstractNumId w:val="15"/>
  </w:num>
  <w:num w:numId="5">
    <w:abstractNumId w:val="7"/>
  </w:num>
  <w:num w:numId="6">
    <w:abstractNumId w:val="9"/>
  </w:num>
  <w:num w:numId="7">
    <w:abstractNumId w:val="0"/>
  </w:num>
  <w:num w:numId="8">
    <w:abstractNumId w:val="12"/>
  </w:num>
  <w:num w:numId="9">
    <w:abstractNumId w:val="2"/>
  </w:num>
  <w:num w:numId="10">
    <w:abstractNumId w:val="10"/>
  </w:num>
  <w:num w:numId="11">
    <w:abstractNumId w:val="13"/>
  </w:num>
  <w:num w:numId="12">
    <w:abstractNumId w:val="4"/>
  </w:num>
  <w:num w:numId="13">
    <w:abstractNumId w:val="6"/>
  </w:num>
  <w:num w:numId="14">
    <w:abstractNumId w:val="1"/>
  </w:num>
  <w:num w:numId="15">
    <w:abstractNumId w:val="11"/>
  </w:num>
  <w:num w:numId="16">
    <w:abstractNumId w:val="14"/>
  </w:num>
  <w:num w:numId="17">
    <w:abstractNumId w:val="3"/>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F4823"/>
    <w:rsid w:val="00100C2D"/>
    <w:rsid w:val="00103A43"/>
    <w:rsid w:val="00111B8E"/>
    <w:rsid w:val="00112793"/>
    <w:rsid w:val="001175FE"/>
    <w:rsid w:val="00120D34"/>
    <w:rsid w:val="00146941"/>
    <w:rsid w:val="00167158"/>
    <w:rsid w:val="001A02A7"/>
    <w:rsid w:val="001A0823"/>
    <w:rsid w:val="001F3265"/>
    <w:rsid w:val="001F3DAC"/>
    <w:rsid w:val="00203C77"/>
    <w:rsid w:val="00231555"/>
    <w:rsid w:val="00233561"/>
    <w:rsid w:val="00241E16"/>
    <w:rsid w:val="00243B99"/>
    <w:rsid w:val="00255F08"/>
    <w:rsid w:val="00273036"/>
    <w:rsid w:val="00273BA9"/>
    <w:rsid w:val="00287DE0"/>
    <w:rsid w:val="0029653C"/>
    <w:rsid w:val="002A39CA"/>
    <w:rsid w:val="002A6916"/>
    <w:rsid w:val="002A7477"/>
    <w:rsid w:val="002B1A53"/>
    <w:rsid w:val="002B2123"/>
    <w:rsid w:val="002D768B"/>
    <w:rsid w:val="003008C8"/>
    <w:rsid w:val="003017C6"/>
    <w:rsid w:val="00310C0A"/>
    <w:rsid w:val="003151BF"/>
    <w:rsid w:val="00327CB9"/>
    <w:rsid w:val="00332F9A"/>
    <w:rsid w:val="0034234E"/>
    <w:rsid w:val="00344D10"/>
    <w:rsid w:val="0034531C"/>
    <w:rsid w:val="00350A98"/>
    <w:rsid w:val="00361AE2"/>
    <w:rsid w:val="00366F0A"/>
    <w:rsid w:val="003840CC"/>
    <w:rsid w:val="003A6967"/>
    <w:rsid w:val="003D017F"/>
    <w:rsid w:val="003D59D8"/>
    <w:rsid w:val="003E4F62"/>
    <w:rsid w:val="00400980"/>
    <w:rsid w:val="00430E14"/>
    <w:rsid w:val="00440707"/>
    <w:rsid w:val="00444B12"/>
    <w:rsid w:val="004652CE"/>
    <w:rsid w:val="004A4315"/>
    <w:rsid w:val="004E6CB8"/>
    <w:rsid w:val="004F3222"/>
    <w:rsid w:val="004F7394"/>
    <w:rsid w:val="0050399D"/>
    <w:rsid w:val="00504F93"/>
    <w:rsid w:val="0051037F"/>
    <w:rsid w:val="00511D6E"/>
    <w:rsid w:val="005205B4"/>
    <w:rsid w:val="00523703"/>
    <w:rsid w:val="00527409"/>
    <w:rsid w:val="00552434"/>
    <w:rsid w:val="005626A6"/>
    <w:rsid w:val="005735CD"/>
    <w:rsid w:val="00576921"/>
    <w:rsid w:val="0058038B"/>
    <w:rsid w:val="005B63D2"/>
    <w:rsid w:val="005C46C1"/>
    <w:rsid w:val="005C7D6A"/>
    <w:rsid w:val="005E15CA"/>
    <w:rsid w:val="005E4D2D"/>
    <w:rsid w:val="005E5238"/>
    <w:rsid w:val="0062365E"/>
    <w:rsid w:val="0065207F"/>
    <w:rsid w:val="0066256A"/>
    <w:rsid w:val="006A3149"/>
    <w:rsid w:val="006A5DE7"/>
    <w:rsid w:val="006C069B"/>
    <w:rsid w:val="006F05DF"/>
    <w:rsid w:val="006F14EB"/>
    <w:rsid w:val="006F5FFA"/>
    <w:rsid w:val="00701C8D"/>
    <w:rsid w:val="00716ABB"/>
    <w:rsid w:val="00721C05"/>
    <w:rsid w:val="00753AFA"/>
    <w:rsid w:val="00761DF6"/>
    <w:rsid w:val="0077023D"/>
    <w:rsid w:val="007A1971"/>
    <w:rsid w:val="007A45A6"/>
    <w:rsid w:val="007A7EFB"/>
    <w:rsid w:val="007B143C"/>
    <w:rsid w:val="007D1975"/>
    <w:rsid w:val="007D1B84"/>
    <w:rsid w:val="00811709"/>
    <w:rsid w:val="00811C35"/>
    <w:rsid w:val="00813CBA"/>
    <w:rsid w:val="00815751"/>
    <w:rsid w:val="0081690C"/>
    <w:rsid w:val="008627F4"/>
    <w:rsid w:val="00893A71"/>
    <w:rsid w:val="008A2175"/>
    <w:rsid w:val="008B1926"/>
    <w:rsid w:val="008B41B2"/>
    <w:rsid w:val="008F40EF"/>
    <w:rsid w:val="008F62B2"/>
    <w:rsid w:val="00904B31"/>
    <w:rsid w:val="00910769"/>
    <w:rsid w:val="00921362"/>
    <w:rsid w:val="009213C1"/>
    <w:rsid w:val="00932C9B"/>
    <w:rsid w:val="00934D4F"/>
    <w:rsid w:val="009428E5"/>
    <w:rsid w:val="009565C5"/>
    <w:rsid w:val="00967B62"/>
    <w:rsid w:val="00971EBF"/>
    <w:rsid w:val="00971F61"/>
    <w:rsid w:val="00984F07"/>
    <w:rsid w:val="009857E6"/>
    <w:rsid w:val="0098781F"/>
    <w:rsid w:val="009B3949"/>
    <w:rsid w:val="009C1083"/>
    <w:rsid w:val="009C75F7"/>
    <w:rsid w:val="009D4DA8"/>
    <w:rsid w:val="009F73DB"/>
    <w:rsid w:val="00A1039F"/>
    <w:rsid w:val="00A27C28"/>
    <w:rsid w:val="00A30208"/>
    <w:rsid w:val="00A40DC3"/>
    <w:rsid w:val="00A5552C"/>
    <w:rsid w:val="00A9284E"/>
    <w:rsid w:val="00AA0C94"/>
    <w:rsid w:val="00AA5472"/>
    <w:rsid w:val="00AB49C0"/>
    <w:rsid w:val="00AB7DBA"/>
    <w:rsid w:val="00AD50F2"/>
    <w:rsid w:val="00AD6D73"/>
    <w:rsid w:val="00AD7058"/>
    <w:rsid w:val="00B00580"/>
    <w:rsid w:val="00B05C45"/>
    <w:rsid w:val="00B079BE"/>
    <w:rsid w:val="00B14B0F"/>
    <w:rsid w:val="00B23575"/>
    <w:rsid w:val="00B42BB6"/>
    <w:rsid w:val="00B65DD0"/>
    <w:rsid w:val="00B841EA"/>
    <w:rsid w:val="00B9339A"/>
    <w:rsid w:val="00BA27EA"/>
    <w:rsid w:val="00BA55E7"/>
    <w:rsid w:val="00BB2CF6"/>
    <w:rsid w:val="00BC135B"/>
    <w:rsid w:val="00BD5289"/>
    <w:rsid w:val="00BE0E14"/>
    <w:rsid w:val="00C06F95"/>
    <w:rsid w:val="00C17563"/>
    <w:rsid w:val="00C33312"/>
    <w:rsid w:val="00C3660C"/>
    <w:rsid w:val="00C421AD"/>
    <w:rsid w:val="00C42CC0"/>
    <w:rsid w:val="00C56A0D"/>
    <w:rsid w:val="00C6101A"/>
    <w:rsid w:val="00C850C3"/>
    <w:rsid w:val="00CA6369"/>
    <w:rsid w:val="00CC1300"/>
    <w:rsid w:val="00CD7A67"/>
    <w:rsid w:val="00CE4E0C"/>
    <w:rsid w:val="00CF30DD"/>
    <w:rsid w:val="00D0285C"/>
    <w:rsid w:val="00D1166C"/>
    <w:rsid w:val="00D13507"/>
    <w:rsid w:val="00D20A7F"/>
    <w:rsid w:val="00D27B18"/>
    <w:rsid w:val="00D43B4D"/>
    <w:rsid w:val="00D633D3"/>
    <w:rsid w:val="00D928DB"/>
    <w:rsid w:val="00DA02C7"/>
    <w:rsid w:val="00DD1AD9"/>
    <w:rsid w:val="00DF51D6"/>
    <w:rsid w:val="00DF6505"/>
    <w:rsid w:val="00DF65DA"/>
    <w:rsid w:val="00E3390A"/>
    <w:rsid w:val="00E71D8E"/>
    <w:rsid w:val="00E93E74"/>
    <w:rsid w:val="00EA38F7"/>
    <w:rsid w:val="00EB126C"/>
    <w:rsid w:val="00EC2F62"/>
    <w:rsid w:val="00EE0213"/>
    <w:rsid w:val="00EE2807"/>
    <w:rsid w:val="00F013A5"/>
    <w:rsid w:val="00F043C0"/>
    <w:rsid w:val="00F04E14"/>
    <w:rsid w:val="00F1711F"/>
    <w:rsid w:val="00F2564A"/>
    <w:rsid w:val="00F42040"/>
    <w:rsid w:val="00F54A7C"/>
    <w:rsid w:val="00F570EA"/>
    <w:rsid w:val="00F70687"/>
    <w:rsid w:val="00FA436C"/>
    <w:rsid w:val="00FD3D35"/>
    <w:rsid w:val="00FD5475"/>
    <w:rsid w:val="00FE42AA"/>
    <w:rsid w:val="00FF2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8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29880834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901214190">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20422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yperlink" Target="mailto:scott.galland@na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ourses/course?courseId=008088&amp;catalogYear=1314" TargetMode="External"/><Relationship Id="rId17" Type="http://schemas.openxmlformats.org/officeDocument/2006/relationships/hyperlink" Target="mailto:scott.galland@nau.edu" TargetMode="Externa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8088&amp;catalogYear=1314"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E5082-282D-4717-9503-EBA50DE9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2626</Words>
  <Characters>14969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2013-11-13T00:09:00Z</dcterms:created>
  <dcterms:modified xsi:type="dcterms:W3CDTF">2013-11-13T00:09:00Z</dcterms:modified>
</cp:coreProperties>
</file>