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839D0"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C65D5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70"/>
        <w:gridCol w:w="2940"/>
        <w:gridCol w:w="300"/>
        <w:gridCol w:w="630"/>
        <w:gridCol w:w="1350"/>
        <w:gridCol w:w="270"/>
        <w:gridCol w:w="90"/>
        <w:gridCol w:w="3510"/>
      </w:tblGrid>
      <w:tr w:rsidR="002B1A53" w:rsidTr="00835C84">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3510" w:type="dxa"/>
            <w:gridSpan w:val="3"/>
            <w:tcBorders>
              <w:bottom w:val="single" w:sz="4" w:space="0" w:color="auto"/>
            </w:tcBorders>
            <w:vAlign w:val="bottom"/>
          </w:tcPr>
          <w:p w:rsidR="00DD1AD9" w:rsidRPr="00835C84" w:rsidRDefault="00835C84" w:rsidP="00287DE0">
            <w:pPr>
              <w:rPr>
                <w:rFonts w:ascii="Arial" w:hAnsi="Arial" w:cs="Arial"/>
                <w:b/>
                <w:sz w:val="24"/>
                <w:szCs w:val="24"/>
              </w:rPr>
            </w:pPr>
            <w:r w:rsidRPr="00835C84">
              <w:rPr>
                <w:rFonts w:ascii="Arial" w:hAnsi="Arial" w:cs="Arial"/>
                <w:b/>
                <w:sz w:val="24"/>
                <w:szCs w:val="24"/>
              </w:rPr>
              <w:t>CEFNS</w:t>
            </w:r>
          </w:p>
        </w:tc>
        <w:tc>
          <w:tcPr>
            <w:tcW w:w="2250" w:type="dxa"/>
            <w:gridSpan w:val="3"/>
            <w:vAlign w:val="bottom"/>
          </w:tcPr>
          <w:p w:rsidR="00DD1AD9" w:rsidRDefault="00DD1AD9" w:rsidP="00835C84">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3600" w:type="dxa"/>
            <w:gridSpan w:val="2"/>
            <w:tcBorders>
              <w:bottom w:val="single" w:sz="4" w:space="0" w:color="auto"/>
            </w:tcBorders>
            <w:vAlign w:val="bottom"/>
          </w:tcPr>
          <w:p w:rsidR="00DD1AD9" w:rsidRPr="00835C84" w:rsidRDefault="00007261" w:rsidP="00007261">
            <w:pPr>
              <w:rPr>
                <w:rFonts w:ascii="Arial" w:hAnsi="Arial" w:cs="Arial"/>
                <w:b/>
                <w:sz w:val="24"/>
                <w:szCs w:val="24"/>
              </w:rPr>
            </w:pPr>
            <w:r>
              <w:rPr>
                <w:rFonts w:ascii="Arial" w:hAnsi="Arial" w:cs="Arial"/>
                <w:b/>
                <w:sz w:val="24"/>
                <w:szCs w:val="24"/>
              </w:rPr>
              <w:t>CECMEE</w:t>
            </w:r>
            <w:r w:rsidR="00C65D58">
              <w:rPr>
                <w:rFonts w:ascii="Arial" w:hAnsi="Arial" w:cs="Arial"/>
                <w:b/>
                <w:sz w:val="24"/>
                <w:szCs w:val="24"/>
              </w:rPr>
              <w:t xml:space="preserve"> </w:t>
            </w:r>
            <w:r w:rsidR="00835C84" w:rsidRPr="00835C84">
              <w:rPr>
                <w:rFonts w:ascii="Arial" w:hAnsi="Arial" w:cs="Arial"/>
                <w:b/>
                <w:sz w:val="24"/>
                <w:szCs w:val="24"/>
              </w:rPr>
              <w:t xml:space="preserve"> </w:t>
            </w:r>
          </w:p>
        </w:tc>
      </w:tr>
      <w:tr w:rsidR="00DD1AD9" w:rsidTr="00835C84">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3"/>
          </w:tcPr>
          <w:p w:rsidR="00DD1AD9" w:rsidRDefault="00DD1AD9" w:rsidP="00287DE0"/>
        </w:tc>
        <w:tc>
          <w:tcPr>
            <w:tcW w:w="3870" w:type="dxa"/>
            <w:gridSpan w:val="3"/>
          </w:tcPr>
          <w:p w:rsidR="00DD1AD9" w:rsidRDefault="00DD1AD9" w:rsidP="00287DE0"/>
        </w:tc>
      </w:tr>
      <w:tr w:rsidR="002B1A53" w:rsidTr="00835C84">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3"/>
            <w:tcBorders>
              <w:bottom w:val="single" w:sz="4" w:space="0" w:color="auto"/>
            </w:tcBorders>
            <w:vAlign w:val="bottom"/>
          </w:tcPr>
          <w:p w:rsidR="00DD1AD9" w:rsidRPr="00835C84" w:rsidRDefault="00C65D58" w:rsidP="00C65D58">
            <w:pPr>
              <w:rPr>
                <w:rFonts w:ascii="Arial" w:hAnsi="Arial" w:cs="Arial"/>
                <w:b/>
                <w:sz w:val="24"/>
                <w:szCs w:val="24"/>
              </w:rPr>
            </w:pPr>
            <w:r>
              <w:rPr>
                <w:rFonts w:ascii="Arial" w:hAnsi="Arial" w:cs="Arial"/>
                <w:b/>
                <w:sz w:val="24"/>
                <w:szCs w:val="24"/>
              </w:rPr>
              <w:t>Civil Engineering; B.S.E</w:t>
            </w:r>
            <w:r w:rsidR="00835C84">
              <w:rPr>
                <w:rFonts w:ascii="Arial" w:hAnsi="Arial" w:cs="Arial"/>
                <w:b/>
                <w:sz w:val="24"/>
                <w:szCs w:val="24"/>
              </w:rPr>
              <w:t xml:space="preserve"> (</w:t>
            </w:r>
            <w:r w:rsidR="004A12F3" w:rsidRPr="004A12F3">
              <w:rPr>
                <w:rFonts w:ascii="Arial" w:hAnsi="Arial" w:cs="Arial"/>
                <w:b/>
                <w:sz w:val="24"/>
                <w:szCs w:val="24"/>
              </w:rPr>
              <w:t>C</w:t>
            </w:r>
            <w:r>
              <w:rPr>
                <w:rFonts w:ascii="Arial" w:hAnsi="Arial" w:cs="Arial"/>
                <w:b/>
                <w:sz w:val="24"/>
                <w:szCs w:val="24"/>
              </w:rPr>
              <w:t>IEGRBSEX</w:t>
            </w:r>
            <w:r w:rsidR="00835C84" w:rsidRPr="004A12F3">
              <w:rPr>
                <w:rFonts w:ascii="Arial" w:hAnsi="Arial" w:cs="Arial"/>
                <w:b/>
                <w:sz w:val="24"/>
                <w:szCs w:val="24"/>
              </w:rPr>
              <w:t>)</w:t>
            </w:r>
          </w:p>
        </w:tc>
        <w:tc>
          <w:tcPr>
            <w:tcW w:w="1710" w:type="dxa"/>
            <w:gridSpan w:val="3"/>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tcBorders>
              <w:bottom w:val="single" w:sz="4" w:space="0" w:color="auto"/>
            </w:tcBorders>
            <w:vAlign w:val="bottom"/>
          </w:tcPr>
          <w:p w:rsidR="00DD1AD9" w:rsidRPr="00835C84" w:rsidRDefault="00DD1AD9" w:rsidP="00287DE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839D0"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FE551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839D0"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839D0"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839D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839D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835C84" w:rsidRDefault="004F3222" w:rsidP="00F570EA">
            <w:pPr>
              <w:rPr>
                <w:rFonts w:ascii="Arial" w:hAnsi="Arial" w:cs="Arial"/>
                <w:b/>
                <w:color w:val="FF0000"/>
                <w:sz w:val="24"/>
                <w:szCs w:val="24"/>
              </w:rPr>
            </w:pPr>
          </w:p>
          <w:p w:rsidR="00C65D58" w:rsidRDefault="00C65D58" w:rsidP="00C65D58">
            <w:pPr>
              <w:rPr>
                <w:rFonts w:ascii="Arial" w:hAnsi="Arial" w:cs="Arial"/>
                <w:b/>
                <w:sz w:val="24"/>
                <w:szCs w:val="24"/>
              </w:rPr>
            </w:pPr>
          </w:p>
          <w:p w:rsidR="00C65D58" w:rsidRPr="0010693F" w:rsidRDefault="00C65D58" w:rsidP="00C65D58">
            <w:pPr>
              <w:rPr>
                <w:rFonts w:ascii="Arial" w:hAnsi="Arial" w:cs="Arial"/>
                <w:sz w:val="24"/>
                <w:szCs w:val="24"/>
              </w:rPr>
            </w:pPr>
            <w:r w:rsidRPr="0010693F">
              <w:rPr>
                <w:rFonts w:ascii="Arial" w:hAnsi="Arial" w:cs="Arial"/>
                <w:sz w:val="24"/>
                <w:szCs w:val="24"/>
              </w:rPr>
              <w:t>Our specific learning goals are stated as our Student Learning Outcomes; upon graduation, students will have developed the following:</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ability to apply knowledge of mathematics, science, and engineering;</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ability to design and conduct experiments, as well as to analyze and interpret data;</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 xml:space="preserve">An ability to design a system, component, or process to meet desired needs within </w:t>
            </w:r>
            <w:r w:rsidRPr="0010693F">
              <w:rPr>
                <w:rFonts w:ascii="Arial" w:hAnsi="Arial" w:cs="Arial"/>
                <w:sz w:val="24"/>
                <w:szCs w:val="24"/>
              </w:rPr>
              <w:lastRenderedPageBreak/>
              <w:t>realistic constraints such as economic, environmental, social, political, ethical, health and safety, manufacturability, and sustainability;</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 xml:space="preserve">An ability to function on multidisciplinary teams; </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 xml:space="preserve">An ability to identify, formulate, and solve engineering problems; </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understanding of professional and ethical responsibility;</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ability to communicate effectively;</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The broad education necessary to understand the impact of engineering solutions in a global, economic, environmental, and society context;</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 recognition of the need for, and an ability to engage in life-long learning;</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 xml:space="preserve">A knowledge of contemporary issues; </w:t>
            </w:r>
          </w:p>
          <w:p w:rsidR="00C65D58" w:rsidRPr="0010693F" w:rsidRDefault="00C65D58" w:rsidP="00C65D58">
            <w:pPr>
              <w:pStyle w:val="ListParagraph"/>
              <w:numPr>
                <w:ilvl w:val="0"/>
                <w:numId w:val="3"/>
              </w:numPr>
              <w:rPr>
                <w:rFonts w:ascii="Arial" w:hAnsi="Arial" w:cs="Arial"/>
                <w:sz w:val="24"/>
                <w:szCs w:val="24"/>
              </w:rPr>
            </w:pPr>
            <w:r w:rsidRPr="0010693F">
              <w:rPr>
                <w:rFonts w:ascii="Arial" w:hAnsi="Arial" w:cs="Arial"/>
                <w:sz w:val="24"/>
                <w:szCs w:val="24"/>
              </w:rPr>
              <w:t>An ability to use the techniques, skills, and modern engineering tools necessary for engineering practice.</w:t>
            </w:r>
          </w:p>
          <w:p w:rsidR="00835C84" w:rsidRDefault="00835C84" w:rsidP="00F570EA">
            <w:pPr>
              <w:rPr>
                <w:rFonts w:ascii="Arial" w:hAnsi="Arial" w:cs="Arial"/>
                <w:b/>
                <w:color w:val="FF0000"/>
                <w:sz w:val="24"/>
                <w:szCs w:val="24"/>
              </w:rPr>
            </w:pPr>
          </w:p>
          <w:p w:rsidR="004F3222" w:rsidRDefault="004F3222" w:rsidP="00C65D58"/>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835C84" w:rsidRPr="00C65D58" w:rsidRDefault="00C65D58" w:rsidP="00835C84">
            <w:pPr>
              <w:rPr>
                <w:rFonts w:ascii="Arial" w:hAnsi="Arial" w:cs="Arial"/>
                <w:b/>
                <w:sz w:val="24"/>
                <w:szCs w:val="24"/>
              </w:rPr>
            </w:pPr>
            <w:r w:rsidRPr="00C65D58">
              <w:rPr>
                <w:rFonts w:ascii="Arial" w:hAnsi="Arial" w:cs="Arial"/>
                <w:b/>
                <w:sz w:val="24"/>
                <w:szCs w:val="24"/>
              </w:rPr>
              <w:t>UNCHANGED</w:t>
            </w: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9839D0" w:rsidP="0065207F">
            <w:pPr>
              <w:pStyle w:val="Heading3"/>
              <w:spacing w:line="260" w:lineRule="auto"/>
              <w:outlineLvl w:val="2"/>
              <w:rPr>
                <w:rFonts w:ascii="Arial" w:hAnsi="Arial" w:cs="Arial"/>
                <w:szCs w:val="24"/>
              </w:rPr>
            </w:pPr>
            <w:r w:rsidRPr="009839D0">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87DE0" w:rsidRPr="005821C8" w:rsidRDefault="00287DE0"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835C84" w:rsidRDefault="00835C84" w:rsidP="00835C84">
            <w:pPr>
              <w:rPr>
                <w:rFonts w:ascii="Tahoma" w:hAnsi="Tahoma" w:cs="Tahoma"/>
                <w:b/>
                <w:i/>
                <w:color w:val="548DD4" w:themeColor="text2" w:themeTint="99"/>
                <w:sz w:val="24"/>
                <w:szCs w:val="24"/>
              </w:rPr>
            </w:pPr>
            <w:r w:rsidRPr="00835C84">
              <w:rPr>
                <w:rFonts w:ascii="Tahoma" w:hAnsi="Tahoma" w:cs="Tahoma"/>
                <w:b/>
                <w:i/>
                <w:color w:val="548DD4" w:themeColor="text2" w:themeTint="99"/>
                <w:sz w:val="24"/>
                <w:szCs w:val="24"/>
              </w:rPr>
              <w:t>C</w:t>
            </w:r>
            <w:r w:rsidR="00C65D58">
              <w:rPr>
                <w:rFonts w:ascii="Tahoma" w:hAnsi="Tahoma" w:cs="Tahoma"/>
                <w:b/>
                <w:i/>
                <w:color w:val="548DD4" w:themeColor="text2" w:themeTint="99"/>
                <w:sz w:val="24"/>
                <w:szCs w:val="24"/>
              </w:rPr>
              <w:t xml:space="preserve">ivil Engineering; B.S.E. </w:t>
            </w:r>
          </w:p>
          <w:p w:rsidR="00835C84" w:rsidRDefault="00835C84" w:rsidP="00835C84">
            <w:pPr>
              <w:rPr>
                <w:rFonts w:ascii="Tahoma" w:hAnsi="Tahoma" w:cs="Tahoma"/>
                <w:b/>
                <w:i/>
                <w:color w:val="548DD4" w:themeColor="text2" w:themeTint="99"/>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In addition to University Requirements:</w:t>
            </w:r>
          </w:p>
          <w:p w:rsidR="00C65D58" w:rsidRPr="00C65D58" w:rsidRDefault="00C65D58" w:rsidP="00C65D58">
            <w:pPr>
              <w:rPr>
                <w:rFonts w:ascii="Tahoma" w:hAnsi="Tahoma" w:cs="Tahoma"/>
                <w:sz w:val="24"/>
                <w:szCs w:val="24"/>
              </w:rPr>
            </w:pP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 xml:space="preserve">At least 57 units of </w:t>
            </w:r>
            <w:proofErr w:type="spellStart"/>
            <w:r w:rsidRPr="00C65D58">
              <w:rPr>
                <w:rFonts w:ascii="Tahoma" w:hAnsi="Tahoma" w:cs="Tahoma"/>
                <w:sz w:val="24"/>
                <w:szCs w:val="24"/>
              </w:rPr>
              <w:t>preprofessional</w:t>
            </w:r>
            <w:proofErr w:type="spellEnd"/>
            <w:r w:rsidRPr="00C65D58">
              <w:rPr>
                <w:rFonts w:ascii="Tahoma" w:hAnsi="Tahoma" w:cs="Tahoma"/>
                <w:sz w:val="24"/>
                <w:szCs w:val="24"/>
              </w:rPr>
              <w:t xml:space="preserve"> requirements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At least 53 units of major courses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Be aware that you may not use courses with a CENE prefix to satisfy liberal studies requirements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Elective courses, if needed, to reach an overall total of at least 130 units</w:t>
            </w:r>
          </w:p>
          <w:p w:rsidR="00C65D58" w:rsidRPr="00C65D58" w:rsidRDefault="00C65D58" w:rsidP="00C65D58">
            <w:pPr>
              <w:rPr>
                <w:rFonts w:ascii="Tahoma" w:hAnsi="Tahoma" w:cs="Tahoma"/>
                <w:sz w:val="24"/>
                <w:szCs w:val="24"/>
              </w:rPr>
            </w:pPr>
          </w:p>
          <w:p w:rsidR="00835C84" w:rsidRPr="00C65D58" w:rsidRDefault="00C65D58" w:rsidP="00C65D58">
            <w:pPr>
              <w:rPr>
                <w:rFonts w:ascii="Tahoma" w:hAnsi="Tahoma" w:cs="Tahoma"/>
                <w:sz w:val="24"/>
                <w:szCs w:val="24"/>
              </w:rPr>
            </w:pPr>
            <w:r w:rsidRPr="00C65D58">
              <w:rPr>
                <w:rFonts w:ascii="Tahoma" w:hAnsi="Tahoma" w:cs="Tahoma"/>
                <w:sz w:val="24"/>
                <w:szCs w:val="24"/>
              </w:rPr>
              <w:t>Please note that you may be able to use some courses to meet more than one requirement. Contact your advisor for details.</w:t>
            </w:r>
          </w:p>
          <w:p w:rsidR="00835C84" w:rsidRDefault="00835C84" w:rsidP="00835C84">
            <w:pPr>
              <w:rPr>
                <w:rFonts w:ascii="Tahoma" w:hAnsi="Tahoma" w:cs="Tahoma"/>
                <w:sz w:val="24"/>
                <w:szCs w:val="24"/>
              </w:rPr>
            </w:pPr>
          </w:p>
          <w:tbl>
            <w:tblPr>
              <w:tblW w:w="62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547"/>
            </w:tblGrid>
            <w:tr w:rsidR="00C65D58" w:rsidTr="00C65D58">
              <w:trPr>
                <w:tblHeader/>
                <w:tblCellSpacing w:w="15" w:type="dxa"/>
              </w:trPr>
              <w:tc>
                <w:tcPr>
                  <w:tcW w:w="2650" w:type="dxa"/>
                  <w:vAlign w:val="center"/>
                  <w:hideMark/>
                </w:tcPr>
                <w:p w:rsidR="00C65D58" w:rsidRDefault="00C65D58">
                  <w:pPr>
                    <w:rPr>
                      <w:sz w:val="24"/>
                      <w:szCs w:val="24"/>
                    </w:rPr>
                  </w:pPr>
                  <w:r>
                    <w:t>Minimum Units for Completion</w:t>
                  </w:r>
                </w:p>
              </w:tc>
              <w:tc>
                <w:tcPr>
                  <w:tcW w:w="3502" w:type="dxa"/>
                  <w:vAlign w:val="center"/>
                  <w:hideMark/>
                </w:tcPr>
                <w:p w:rsidR="00C65D58" w:rsidRDefault="00C65D58">
                  <w:pPr>
                    <w:rPr>
                      <w:sz w:val="24"/>
                      <w:szCs w:val="24"/>
                    </w:rPr>
                  </w:pPr>
                  <w:r>
                    <w:t>130</w:t>
                  </w:r>
                </w:p>
              </w:tc>
            </w:tr>
            <w:tr w:rsidR="00C65D58" w:rsidTr="00C65D58">
              <w:trPr>
                <w:tblCellSpacing w:w="15" w:type="dxa"/>
              </w:trPr>
              <w:tc>
                <w:tcPr>
                  <w:tcW w:w="2650" w:type="dxa"/>
                  <w:vAlign w:val="center"/>
                  <w:hideMark/>
                </w:tcPr>
                <w:p w:rsidR="00C65D58" w:rsidRDefault="00C65D58">
                  <w:pPr>
                    <w:rPr>
                      <w:sz w:val="24"/>
                      <w:szCs w:val="24"/>
                    </w:rPr>
                  </w:pPr>
                  <w:r>
                    <w:t>Mathematics Required</w:t>
                  </w:r>
                </w:p>
              </w:tc>
              <w:tc>
                <w:tcPr>
                  <w:tcW w:w="3502" w:type="dxa"/>
                  <w:vAlign w:val="center"/>
                  <w:hideMark/>
                </w:tcPr>
                <w:p w:rsidR="00C65D58" w:rsidRDefault="009839D0">
                  <w:pPr>
                    <w:rPr>
                      <w:sz w:val="24"/>
                      <w:szCs w:val="24"/>
                    </w:rPr>
                  </w:pPr>
                  <w:hyperlink r:id="rId12" w:tgtFrame="_blank" w:history="1">
                    <w:r w:rsidR="00C65D58">
                      <w:rPr>
                        <w:rStyle w:val="Hyperlink"/>
                      </w:rPr>
                      <w:t>MAT 239</w:t>
                    </w:r>
                  </w:hyperlink>
                </w:p>
              </w:tc>
            </w:tr>
            <w:tr w:rsidR="00C65D58" w:rsidTr="00C65D58">
              <w:trPr>
                <w:tblCellSpacing w:w="15" w:type="dxa"/>
              </w:trPr>
              <w:tc>
                <w:tcPr>
                  <w:tcW w:w="2650" w:type="dxa"/>
                  <w:vAlign w:val="center"/>
                  <w:hideMark/>
                </w:tcPr>
                <w:p w:rsidR="00C65D58" w:rsidRDefault="00C65D58">
                  <w:pPr>
                    <w:rPr>
                      <w:sz w:val="24"/>
                      <w:szCs w:val="24"/>
                    </w:rPr>
                  </w:pPr>
                  <w:r>
                    <w:t>Additional Fees/Program Fees</w:t>
                  </w:r>
                </w:p>
              </w:tc>
              <w:tc>
                <w:tcPr>
                  <w:tcW w:w="3502" w:type="dxa"/>
                  <w:vAlign w:val="center"/>
                  <w:hideMark/>
                </w:tcPr>
                <w:p w:rsidR="00C65D58" w:rsidRDefault="00C65D58">
                  <w:pPr>
                    <w:rPr>
                      <w:sz w:val="24"/>
                      <w:szCs w:val="24"/>
                    </w:rPr>
                  </w:pPr>
                  <w:r>
                    <w:t>Required</w:t>
                  </w:r>
                </w:p>
              </w:tc>
            </w:tr>
            <w:tr w:rsidR="00C65D58" w:rsidTr="00C65D58">
              <w:trPr>
                <w:tblCellSpacing w:w="15" w:type="dxa"/>
              </w:trPr>
              <w:tc>
                <w:tcPr>
                  <w:tcW w:w="2650" w:type="dxa"/>
                  <w:vAlign w:val="center"/>
                  <w:hideMark/>
                </w:tcPr>
                <w:p w:rsidR="00C65D58" w:rsidRDefault="00C65D58">
                  <w:pPr>
                    <w:rPr>
                      <w:sz w:val="24"/>
                      <w:szCs w:val="24"/>
                    </w:rPr>
                  </w:pPr>
                  <w:r>
                    <w:t>University Honors Program</w:t>
                  </w:r>
                </w:p>
              </w:tc>
              <w:tc>
                <w:tcPr>
                  <w:tcW w:w="3502" w:type="dxa"/>
                  <w:vAlign w:val="center"/>
                  <w:hideMark/>
                </w:tcPr>
                <w:p w:rsidR="00C65D58" w:rsidRDefault="00C65D58">
                  <w:pPr>
                    <w:rPr>
                      <w:sz w:val="24"/>
                      <w:szCs w:val="24"/>
                    </w:rPr>
                  </w:pPr>
                  <w:r>
                    <w:t>Optional</w:t>
                  </w:r>
                </w:p>
              </w:tc>
            </w:tr>
            <w:tr w:rsidR="00C65D58" w:rsidTr="00C65D58">
              <w:trPr>
                <w:tblCellSpacing w:w="15" w:type="dxa"/>
              </w:trPr>
              <w:tc>
                <w:tcPr>
                  <w:tcW w:w="2650" w:type="dxa"/>
                  <w:vAlign w:val="center"/>
                  <w:hideMark/>
                </w:tcPr>
                <w:p w:rsidR="00C65D58" w:rsidRDefault="00C65D58">
                  <w:pPr>
                    <w:rPr>
                      <w:sz w:val="24"/>
                      <w:szCs w:val="24"/>
                    </w:rPr>
                  </w:pPr>
                  <w:r>
                    <w:t>Integrated Undergraduate/Graduate Plan</w:t>
                  </w:r>
                </w:p>
              </w:tc>
              <w:tc>
                <w:tcPr>
                  <w:tcW w:w="3502" w:type="dxa"/>
                  <w:vAlign w:val="center"/>
                  <w:hideMark/>
                </w:tcPr>
                <w:p w:rsidR="00C65D58" w:rsidRDefault="00C65D58">
                  <w:pPr>
                    <w:rPr>
                      <w:sz w:val="24"/>
                      <w:szCs w:val="24"/>
                    </w:rPr>
                  </w:pPr>
                  <w:r>
                    <w:t>Optional</w:t>
                  </w:r>
                </w:p>
              </w:tc>
            </w:tr>
            <w:tr w:rsidR="00C65D58" w:rsidTr="00C65D58">
              <w:trPr>
                <w:tblCellSpacing w:w="15" w:type="dxa"/>
              </w:trPr>
              <w:tc>
                <w:tcPr>
                  <w:tcW w:w="2650" w:type="dxa"/>
                  <w:vAlign w:val="center"/>
                  <w:hideMark/>
                </w:tcPr>
                <w:p w:rsidR="00C65D58" w:rsidRDefault="00C65D58">
                  <w:pPr>
                    <w:rPr>
                      <w:sz w:val="24"/>
                      <w:szCs w:val="24"/>
                    </w:rPr>
                  </w:pPr>
                  <w:r>
                    <w:t>Progression Plan</w:t>
                  </w:r>
                </w:p>
              </w:tc>
              <w:tc>
                <w:tcPr>
                  <w:tcW w:w="3502" w:type="dxa"/>
                  <w:vAlign w:val="center"/>
                  <w:hideMark/>
                </w:tcPr>
                <w:p w:rsidR="00C65D58" w:rsidRDefault="009839D0">
                  <w:pPr>
                    <w:rPr>
                      <w:sz w:val="24"/>
                      <w:szCs w:val="24"/>
                    </w:rPr>
                  </w:pPr>
                  <w:hyperlink r:id="rId13" w:anchor="CIEGRBSEX" w:tgtFrame="_blank" w:history="1">
                    <w:r w:rsidR="00C65D58">
                      <w:rPr>
                        <w:rStyle w:val="Hyperlink"/>
                      </w:rPr>
                      <w:t>View Progression Plan</w:t>
                    </w:r>
                  </w:hyperlink>
                </w:p>
              </w:tc>
            </w:tr>
          </w:tbl>
          <w:p w:rsidR="00C65D58" w:rsidRDefault="00C65D58" w:rsidP="00835C84">
            <w:pPr>
              <w:rPr>
                <w:rFonts w:ascii="Tahoma" w:hAnsi="Tahoma" w:cs="Tahoma"/>
                <w:sz w:val="24"/>
                <w:szCs w:val="24"/>
              </w:rPr>
            </w:pPr>
          </w:p>
          <w:p w:rsidR="00007261" w:rsidRPr="00C65D58" w:rsidRDefault="00007261" w:rsidP="00007261">
            <w:pPr>
              <w:rPr>
                <w:rFonts w:ascii="Tahoma" w:hAnsi="Tahoma" w:cs="Tahoma"/>
                <w:i/>
                <w:sz w:val="24"/>
                <w:szCs w:val="24"/>
              </w:rPr>
            </w:pPr>
            <w:r w:rsidRPr="00C65D58">
              <w:rPr>
                <w:rFonts w:ascii="Tahoma" w:hAnsi="Tahoma" w:cs="Tahoma"/>
                <w:i/>
                <w:sz w:val="24"/>
                <w:szCs w:val="24"/>
              </w:rPr>
              <w:t>Major Requirements</w:t>
            </w:r>
          </w:p>
          <w:p w:rsidR="00007261" w:rsidRPr="00C65D58" w:rsidRDefault="00007261" w:rsidP="00007261">
            <w:pPr>
              <w:rPr>
                <w:rFonts w:ascii="Tahoma" w:hAnsi="Tahoma" w:cs="Tahoma"/>
                <w:sz w:val="24"/>
                <w:szCs w:val="24"/>
              </w:rPr>
            </w:pPr>
            <w:r w:rsidRPr="00C65D58">
              <w:rPr>
                <w:rFonts w:ascii="Tahoma" w:hAnsi="Tahoma" w:cs="Tahoma"/>
                <w:sz w:val="24"/>
                <w:szCs w:val="24"/>
              </w:rPr>
              <w:t>Take the following 110 units:</w:t>
            </w:r>
          </w:p>
          <w:p w:rsidR="00007261" w:rsidRPr="00C65D58" w:rsidRDefault="00007261" w:rsidP="00007261">
            <w:pPr>
              <w:rPr>
                <w:rFonts w:ascii="Tahoma" w:hAnsi="Tahoma" w:cs="Tahoma"/>
                <w:sz w:val="24"/>
                <w:szCs w:val="24"/>
              </w:rPr>
            </w:pPr>
          </w:p>
          <w:p w:rsidR="00007261" w:rsidRPr="00C65D58" w:rsidRDefault="00007261" w:rsidP="00007261">
            <w:pPr>
              <w:rPr>
                <w:rFonts w:ascii="Tahoma" w:hAnsi="Tahoma" w:cs="Tahoma"/>
                <w:sz w:val="24"/>
                <w:szCs w:val="24"/>
              </w:rPr>
            </w:pPr>
            <w:proofErr w:type="spellStart"/>
            <w:r w:rsidRPr="00C65D58">
              <w:rPr>
                <w:rFonts w:ascii="Tahoma" w:hAnsi="Tahoma" w:cs="Tahoma"/>
                <w:sz w:val="24"/>
                <w:szCs w:val="24"/>
              </w:rPr>
              <w:t>Preprofessional</w:t>
            </w:r>
            <w:proofErr w:type="spellEnd"/>
            <w:r w:rsidRPr="00C65D58">
              <w:rPr>
                <w:rFonts w:ascii="Tahoma" w:hAnsi="Tahoma" w:cs="Tahoma"/>
                <w:sz w:val="24"/>
                <w:szCs w:val="24"/>
              </w:rPr>
              <w:t xml:space="preserve"> Requirements (57 units)</w:t>
            </w:r>
          </w:p>
          <w:p w:rsid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Mathematics and Science courses (30 units)</w:t>
            </w:r>
          </w:p>
          <w:p w:rsidR="00007261" w:rsidRPr="00007261" w:rsidRDefault="00007261" w:rsidP="00007261">
            <w:pPr>
              <w:pStyle w:val="ListParagraph"/>
              <w:numPr>
                <w:ilvl w:val="0"/>
                <w:numId w:val="11"/>
              </w:numPr>
              <w:rPr>
                <w:rFonts w:ascii="Tahoma" w:hAnsi="Tahoma" w:cs="Tahoma"/>
                <w:sz w:val="24"/>
                <w:szCs w:val="24"/>
              </w:rPr>
            </w:pPr>
            <w:r w:rsidRPr="00007261">
              <w:rPr>
                <w:rFonts w:ascii="Tahoma" w:hAnsi="Tahoma" w:cs="Tahoma"/>
                <w:sz w:val="24"/>
                <w:szCs w:val="24"/>
              </w:rPr>
              <w:t>MAT 136*, MAT 137*, MAT 238*, MAT 239 (15 units)</w:t>
            </w:r>
          </w:p>
          <w:p w:rsidR="00007261" w:rsidRPr="00007261" w:rsidRDefault="00007261" w:rsidP="00007261">
            <w:pPr>
              <w:pStyle w:val="ListParagraph"/>
              <w:numPr>
                <w:ilvl w:val="0"/>
                <w:numId w:val="11"/>
              </w:numPr>
              <w:rPr>
                <w:rFonts w:ascii="Tahoma" w:hAnsi="Tahoma" w:cs="Tahoma"/>
                <w:sz w:val="24"/>
                <w:szCs w:val="24"/>
              </w:rPr>
            </w:pPr>
            <w:r w:rsidRPr="00007261">
              <w:rPr>
                <w:rFonts w:ascii="Tahoma" w:hAnsi="Tahoma" w:cs="Tahoma"/>
                <w:sz w:val="24"/>
                <w:szCs w:val="24"/>
              </w:rPr>
              <w:t>CHM 151*, CHM 151L (5 units)</w:t>
            </w:r>
          </w:p>
          <w:p w:rsidR="00007261" w:rsidRPr="00007261" w:rsidRDefault="00007261" w:rsidP="00007261">
            <w:pPr>
              <w:pStyle w:val="ListParagraph"/>
              <w:numPr>
                <w:ilvl w:val="0"/>
                <w:numId w:val="11"/>
              </w:numPr>
              <w:rPr>
                <w:rFonts w:ascii="Tahoma" w:hAnsi="Tahoma" w:cs="Tahoma"/>
                <w:sz w:val="24"/>
                <w:szCs w:val="24"/>
              </w:rPr>
            </w:pPr>
            <w:r w:rsidRPr="00007261">
              <w:rPr>
                <w:rFonts w:ascii="Tahoma" w:hAnsi="Tahoma" w:cs="Tahoma"/>
                <w:sz w:val="24"/>
                <w:szCs w:val="24"/>
              </w:rPr>
              <w:t>PHY 161*, PHY 262* (7 units)</w:t>
            </w:r>
          </w:p>
          <w:p w:rsidR="00007261" w:rsidRPr="00007261" w:rsidRDefault="00007261" w:rsidP="00007261">
            <w:pPr>
              <w:pStyle w:val="ListParagraph"/>
              <w:numPr>
                <w:ilvl w:val="0"/>
                <w:numId w:val="11"/>
              </w:numPr>
              <w:rPr>
                <w:rFonts w:ascii="Tahoma" w:hAnsi="Tahoma" w:cs="Tahoma"/>
                <w:sz w:val="24"/>
                <w:szCs w:val="24"/>
              </w:rPr>
            </w:pPr>
            <w:r w:rsidRPr="00007261">
              <w:rPr>
                <w:rFonts w:ascii="Tahoma" w:hAnsi="Tahoma" w:cs="Tahoma"/>
                <w:sz w:val="24"/>
                <w:szCs w:val="24"/>
              </w:rPr>
              <w:t>Select from: (BIO 181 and BIO 181L), (BIO 182 and BIO 182L), (GLG 101 and GLG 103), GLG 107, (GLG 112 and GLG 112L), GLG 115,  ENV 230 (3-4 units)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Engineering Science courses (24 units)</w:t>
            </w:r>
          </w:p>
          <w:p w:rsidR="00007261" w:rsidRPr="00007261" w:rsidRDefault="00007261" w:rsidP="00007261">
            <w:pPr>
              <w:pStyle w:val="ListParagraph"/>
              <w:numPr>
                <w:ilvl w:val="0"/>
                <w:numId w:val="9"/>
              </w:numPr>
              <w:rPr>
                <w:rFonts w:ascii="Tahoma" w:hAnsi="Tahoma" w:cs="Tahoma"/>
                <w:sz w:val="24"/>
                <w:szCs w:val="24"/>
              </w:rPr>
            </w:pPr>
            <w:r w:rsidRPr="00007261">
              <w:rPr>
                <w:rFonts w:ascii="Tahoma" w:hAnsi="Tahoma" w:cs="Tahoma"/>
                <w:sz w:val="24"/>
                <w:szCs w:val="24"/>
              </w:rPr>
              <w:lastRenderedPageBreak/>
              <w:t>EGR 186* (3 units)</w:t>
            </w:r>
          </w:p>
          <w:p w:rsidR="00007261" w:rsidRPr="00007261" w:rsidRDefault="00007261" w:rsidP="00007261">
            <w:pPr>
              <w:pStyle w:val="ListParagraph"/>
              <w:numPr>
                <w:ilvl w:val="0"/>
                <w:numId w:val="9"/>
              </w:numPr>
              <w:rPr>
                <w:rFonts w:ascii="Tahoma" w:hAnsi="Tahoma" w:cs="Tahoma"/>
                <w:sz w:val="24"/>
                <w:szCs w:val="24"/>
              </w:rPr>
            </w:pPr>
            <w:r w:rsidRPr="00007261">
              <w:rPr>
                <w:rFonts w:ascii="Tahoma" w:hAnsi="Tahoma" w:cs="Tahoma"/>
                <w:sz w:val="24"/>
                <w:szCs w:val="24"/>
              </w:rPr>
              <w:t>CENE 180*, CENE 225*, CENE 251*, CENE 253*, CENE 253L, CENE 286* (15 units)</w:t>
            </w:r>
          </w:p>
          <w:p w:rsidR="00007261" w:rsidRPr="00007261" w:rsidRDefault="00007261" w:rsidP="00007261">
            <w:pPr>
              <w:pStyle w:val="ListParagraph"/>
              <w:numPr>
                <w:ilvl w:val="0"/>
                <w:numId w:val="9"/>
              </w:numPr>
              <w:rPr>
                <w:rFonts w:ascii="Tahoma" w:hAnsi="Tahoma" w:cs="Tahoma"/>
                <w:sz w:val="24"/>
                <w:szCs w:val="24"/>
              </w:rPr>
            </w:pPr>
            <w:r w:rsidRPr="00007261">
              <w:rPr>
                <w:rFonts w:ascii="Tahoma" w:hAnsi="Tahoma" w:cs="Tahoma"/>
                <w:sz w:val="24"/>
                <w:szCs w:val="24"/>
              </w:rPr>
              <w:t>ME 252, ME 291 (6 units)</w:t>
            </w:r>
          </w:p>
          <w:p w:rsidR="00007261" w:rsidRPr="00007261" w:rsidRDefault="00007261" w:rsidP="00007261">
            <w:pPr>
              <w:rPr>
                <w:rFonts w:ascii="Tahoma" w:hAnsi="Tahoma" w:cs="Tahoma"/>
                <w:sz w:val="24"/>
                <w:szCs w:val="24"/>
              </w:rPr>
            </w:pPr>
            <w:r w:rsidRPr="00007261">
              <w:rPr>
                <w:rFonts w:ascii="Tahoma" w:hAnsi="Tahoma" w:cs="Tahoma"/>
                <w:sz w:val="24"/>
                <w:szCs w:val="24"/>
              </w:rPr>
              <w:t>Additional requirements include:</w:t>
            </w:r>
          </w:p>
          <w:p w:rsidR="00007261" w:rsidRPr="00007261" w:rsidRDefault="00007261" w:rsidP="00007261">
            <w:pPr>
              <w:pStyle w:val="ListParagraph"/>
              <w:numPr>
                <w:ilvl w:val="0"/>
                <w:numId w:val="7"/>
              </w:numPr>
              <w:rPr>
                <w:rFonts w:ascii="Tahoma" w:hAnsi="Tahoma" w:cs="Tahoma"/>
                <w:sz w:val="24"/>
                <w:szCs w:val="24"/>
              </w:rPr>
            </w:pPr>
            <w:r w:rsidRPr="00007261">
              <w:rPr>
                <w:rFonts w:ascii="Tahoma" w:hAnsi="Tahoma" w:cs="Tahoma"/>
                <w:sz w:val="24"/>
                <w:szCs w:val="24"/>
              </w:rPr>
              <w:t>PHI 105 or PHI 331 (3 units)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Major Courses (53 units)</w:t>
            </w:r>
          </w:p>
          <w:p w:rsidR="00007261" w:rsidRPr="00007261" w:rsidRDefault="00007261" w:rsidP="00007261">
            <w:pPr>
              <w:pStyle w:val="ListParagraph"/>
              <w:numPr>
                <w:ilvl w:val="0"/>
                <w:numId w:val="6"/>
              </w:numPr>
              <w:rPr>
                <w:rFonts w:ascii="Tahoma" w:hAnsi="Tahoma" w:cs="Tahoma"/>
                <w:sz w:val="24"/>
                <w:szCs w:val="24"/>
              </w:rPr>
            </w:pPr>
            <w:r w:rsidRPr="00007261">
              <w:rPr>
                <w:rFonts w:ascii="Tahoma" w:hAnsi="Tahoma" w:cs="Tahoma"/>
                <w:sz w:val="24"/>
                <w:szCs w:val="24"/>
              </w:rPr>
              <w:t>CENE 150, CENE 270*, CENE 333*, CENE 333L, CENE 336*, CENE 376*, CENE 383*, CENE 383L*, CENE 401, CENE 418, CENE 420*, CENE 431, CENE 438, CENE 450, CENE 476* (38 units)</w:t>
            </w:r>
          </w:p>
          <w:p w:rsidR="00007261" w:rsidRPr="00007261" w:rsidRDefault="00007261" w:rsidP="00007261">
            <w:pPr>
              <w:pStyle w:val="ListParagraph"/>
              <w:numPr>
                <w:ilvl w:val="0"/>
                <w:numId w:val="6"/>
              </w:numPr>
              <w:rPr>
                <w:rFonts w:ascii="Tahoma" w:hAnsi="Tahoma" w:cs="Tahoma"/>
                <w:sz w:val="24"/>
                <w:szCs w:val="24"/>
              </w:rPr>
            </w:pPr>
            <w:r w:rsidRPr="00007261">
              <w:rPr>
                <w:rFonts w:ascii="Tahoma" w:hAnsi="Tahoma" w:cs="Tahoma"/>
                <w:sz w:val="24"/>
                <w:szCs w:val="24"/>
              </w:rPr>
              <w:t>EGR 386W * (3 units)</w:t>
            </w:r>
          </w:p>
          <w:p w:rsidR="00007261" w:rsidRPr="00007261" w:rsidRDefault="00007261" w:rsidP="00007261">
            <w:pPr>
              <w:pStyle w:val="ListParagraph"/>
              <w:numPr>
                <w:ilvl w:val="0"/>
                <w:numId w:val="6"/>
              </w:numPr>
              <w:rPr>
                <w:rFonts w:ascii="Tahoma" w:hAnsi="Tahoma" w:cs="Tahoma"/>
                <w:sz w:val="24"/>
                <w:szCs w:val="24"/>
              </w:rPr>
            </w:pPr>
            <w:r w:rsidRPr="00007261">
              <w:rPr>
                <w:rFonts w:ascii="Tahoma" w:hAnsi="Tahoma" w:cs="Tahoma"/>
                <w:sz w:val="24"/>
                <w:szCs w:val="24"/>
              </w:rPr>
              <w:t>CENE 486C (3 units)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Select Technical coursework; including at least 6 units with CENE prefixes, from (9 units):</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CENE 280, CENE 330, CENE 332, CENE 335, CENE 410, CENE 434, CENE 436, CENE 437, CENE 440, CENE 457, CENE 460, CENE 462, CENE 477, CENE 485, CENE 497, CENE 499, CENE 540, CENE 541, CENE 543, CENE 545, CENE 550, CENE 551, CENE 560, CENE 562, CENE 568</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CM 329, CM 388, CM 391, CM 460, CM 499</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CS 122</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EE 188</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ME 340, ME 435, ME 450, ME 451, ME 454, ME 455</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w:t>
            </w:r>
            <w:proofErr w:type="spellStart"/>
            <w:r w:rsidRPr="00007261">
              <w:rPr>
                <w:rFonts w:ascii="Tahoma" w:hAnsi="Tahoma" w:cs="Tahoma"/>
                <w:sz w:val="24"/>
                <w:szCs w:val="24"/>
              </w:rPr>
              <w:t>Prerequisities</w:t>
            </w:r>
            <w:proofErr w:type="spellEnd"/>
            <w:r w:rsidRPr="00007261">
              <w:rPr>
                <w:rFonts w:ascii="Tahoma" w:hAnsi="Tahoma" w:cs="Tahoma"/>
                <w:sz w:val="24"/>
                <w:szCs w:val="24"/>
              </w:rPr>
              <w:t xml:space="preserve"> to Engineering coursework that must be completed with grades of "C" or better. In addition, ENG 105 must be completed with a grade of "C" or better.</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If you wish to enhance your education in the area of environmental engineering, mechanical engineering, mathematics, or construction management, you can easily pursue a minor in each discipline with the addition of a small number of courses and by consulting with the respective disciplinary advisors.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i/>
                <w:sz w:val="24"/>
                <w:szCs w:val="24"/>
              </w:rPr>
            </w:pPr>
            <w:r w:rsidRPr="00007261">
              <w:rPr>
                <w:rFonts w:ascii="Tahoma" w:hAnsi="Tahoma" w:cs="Tahoma"/>
                <w:i/>
                <w:sz w:val="24"/>
                <w:szCs w:val="24"/>
              </w:rPr>
              <w:t>General Electives</w:t>
            </w:r>
          </w:p>
          <w:p w:rsidR="00007261" w:rsidRPr="00007261" w:rsidRDefault="00007261" w:rsidP="00007261">
            <w:pPr>
              <w:rPr>
                <w:rFonts w:ascii="Tahoma" w:hAnsi="Tahoma" w:cs="Tahoma"/>
                <w:sz w:val="24"/>
                <w:szCs w:val="24"/>
              </w:rPr>
            </w:pPr>
            <w:r w:rsidRPr="00007261">
              <w:rPr>
                <w:rFonts w:ascii="Tahoma" w:hAnsi="Tahoma" w:cs="Tahoma"/>
                <w:sz w:val="24"/>
                <w:szCs w:val="24"/>
              </w:rPr>
              <w:t xml:space="preserve">Additional coursework is required, if, after you have met the previously described requirements, you have not yet completed a total of 130-136 </w:t>
            </w:r>
            <w:r w:rsidRPr="00007261">
              <w:rPr>
                <w:rFonts w:ascii="Tahoma" w:hAnsi="Tahoma" w:cs="Tahoma"/>
                <w:sz w:val="24"/>
                <w:szCs w:val="24"/>
              </w:rPr>
              <w:lastRenderedPageBreak/>
              <w:t xml:space="preserve">units of credit.  </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i/>
                <w:sz w:val="24"/>
                <w:szCs w:val="24"/>
              </w:rPr>
            </w:pPr>
            <w:r w:rsidRPr="00007261">
              <w:rPr>
                <w:rFonts w:ascii="Tahoma" w:hAnsi="Tahoma" w:cs="Tahoma"/>
                <w:i/>
                <w:sz w:val="24"/>
                <w:szCs w:val="24"/>
              </w:rPr>
              <w:t>Additional Information</w:t>
            </w:r>
          </w:p>
          <w:p w:rsidR="00007261" w:rsidRPr="00007261" w:rsidRDefault="00007261" w:rsidP="00007261">
            <w:pPr>
              <w:rPr>
                <w:rFonts w:ascii="Tahoma" w:hAnsi="Tahoma" w:cs="Tahoma"/>
                <w:sz w:val="24"/>
                <w:szCs w:val="24"/>
              </w:rPr>
            </w:pPr>
            <w:r w:rsidRPr="00007261">
              <w:rPr>
                <w:rFonts w:ascii="Tahoma" w:hAnsi="Tahoma" w:cs="Tahoma"/>
                <w:sz w:val="24"/>
                <w:szCs w:val="24"/>
              </w:rPr>
              <w:t>You may not have more than one grade of "D" in your required engineering, mathematics, and science courses. In addition, all prerequisite courses for your engineering courses must be completed with grades of "C" or better.</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Be aware that some courses may have prerequisites that you must also take. For prerequisite information click on the course or see your advisor.</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i/>
                <w:sz w:val="24"/>
                <w:szCs w:val="24"/>
              </w:rPr>
            </w:pPr>
            <w:r w:rsidRPr="00007261">
              <w:rPr>
                <w:rFonts w:ascii="Tahoma" w:hAnsi="Tahoma" w:cs="Tahoma"/>
                <w:i/>
                <w:sz w:val="24"/>
                <w:szCs w:val="24"/>
              </w:rPr>
              <w:t>Integrated Undergraduate/Graduate Plan Option</w:t>
            </w:r>
          </w:p>
          <w:p w:rsidR="00007261" w:rsidRPr="00007261" w:rsidRDefault="00007261" w:rsidP="00007261">
            <w:pPr>
              <w:rPr>
                <w:rFonts w:ascii="Tahoma" w:hAnsi="Tahoma" w:cs="Tahoma"/>
                <w:sz w:val="24"/>
                <w:szCs w:val="24"/>
              </w:rPr>
            </w:pPr>
            <w:r w:rsidRPr="00007261">
              <w:rPr>
                <w:rFonts w:ascii="Tahoma" w:hAnsi="Tahoma" w:cs="Tahoma"/>
                <w:sz w:val="24"/>
                <w:szCs w:val="24"/>
              </w:rPr>
              <w:t>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Students must apply to the master’s program by the application deadline, and meet all requirements as listed on the Integrated Program website (insert link to integrated degree secondary page) to be considered for admission.  Admission to programs is competitive.  Many qualified applicants are denied because of limits on the number of students admitted each year.  Be sure to speak with your advisor regarding your interest in Integrated Programs.</w:t>
            </w:r>
          </w:p>
          <w:p w:rsidR="00007261" w:rsidRPr="00007261" w:rsidRDefault="00007261" w:rsidP="00007261">
            <w:pPr>
              <w:rPr>
                <w:rFonts w:ascii="Tahoma" w:hAnsi="Tahoma" w:cs="Tahoma"/>
                <w:sz w:val="24"/>
                <w:szCs w:val="24"/>
              </w:rPr>
            </w:pPr>
            <w:r w:rsidRPr="00007261">
              <w:rPr>
                <w:rFonts w:ascii="Tahoma" w:hAnsi="Tahoma" w:cs="Tahoma"/>
                <w:sz w:val="24"/>
                <w:szCs w:val="24"/>
              </w:rPr>
              <w:t xml:space="preserve">     </w:t>
            </w:r>
          </w:p>
          <w:p w:rsidR="00007261" w:rsidRPr="00007261" w:rsidRDefault="00007261" w:rsidP="00007261">
            <w:pPr>
              <w:rPr>
                <w:rFonts w:ascii="Tahoma" w:hAnsi="Tahoma" w:cs="Tahoma"/>
                <w:sz w:val="24"/>
                <w:szCs w:val="24"/>
              </w:rPr>
            </w:pPr>
            <w:r w:rsidRPr="00007261">
              <w:rPr>
                <w:rFonts w:ascii="Tahoma" w:hAnsi="Tahoma" w:cs="Tahoma"/>
                <w:sz w:val="24"/>
                <w:szCs w:val="24"/>
              </w:rPr>
              <w:t>PROGRAM FEE INFORMATION</w:t>
            </w:r>
          </w:p>
          <w:p w:rsidR="00835C84" w:rsidRPr="00835C84" w:rsidRDefault="00007261" w:rsidP="00007261">
            <w:pPr>
              <w:rPr>
                <w:rFonts w:ascii="Tahoma" w:hAnsi="Tahoma" w:cs="Tahoma"/>
                <w:sz w:val="24"/>
                <w:szCs w:val="24"/>
              </w:rPr>
            </w:pPr>
            <w:r w:rsidRPr="00007261">
              <w:rPr>
                <w:rFonts w:ascii="Tahoma" w:hAnsi="Tahoma" w:cs="Tahoma"/>
                <w:sz w:val="24"/>
                <w:szCs w:val="24"/>
              </w:rPr>
              <w:t xml:space="preserve">Program fees are established by the Arizona Board of Regents (ABOR). A program fee of $500 per year in students' Junior and Senior </w:t>
            </w:r>
            <w:r w:rsidRPr="00007261">
              <w:rPr>
                <w:rFonts w:ascii="Tahoma" w:hAnsi="Tahoma" w:cs="Tahoma"/>
                <w:sz w:val="24"/>
                <w:szCs w:val="24"/>
              </w:rPr>
              <w:lastRenderedPageBreak/>
              <w:t>years has been approved for this program.</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C65D58" w:rsidRDefault="00C65D58" w:rsidP="00C65D58">
            <w:pPr>
              <w:rPr>
                <w:rFonts w:ascii="Tahoma" w:hAnsi="Tahoma" w:cs="Tahoma"/>
                <w:b/>
                <w:i/>
                <w:color w:val="548DD4" w:themeColor="text2" w:themeTint="99"/>
                <w:sz w:val="24"/>
                <w:szCs w:val="24"/>
              </w:rPr>
            </w:pPr>
            <w:r w:rsidRPr="00835C84">
              <w:rPr>
                <w:rFonts w:ascii="Tahoma" w:hAnsi="Tahoma" w:cs="Tahoma"/>
                <w:b/>
                <w:i/>
                <w:color w:val="548DD4" w:themeColor="text2" w:themeTint="99"/>
                <w:sz w:val="24"/>
                <w:szCs w:val="24"/>
              </w:rPr>
              <w:t>C</w:t>
            </w:r>
            <w:r>
              <w:rPr>
                <w:rFonts w:ascii="Tahoma" w:hAnsi="Tahoma" w:cs="Tahoma"/>
                <w:b/>
                <w:i/>
                <w:color w:val="548DD4" w:themeColor="text2" w:themeTint="99"/>
                <w:sz w:val="24"/>
                <w:szCs w:val="24"/>
              </w:rPr>
              <w:t xml:space="preserve">ivil Engineering; B.S.E. </w:t>
            </w:r>
          </w:p>
          <w:p w:rsidR="00C65D58" w:rsidRDefault="00C65D58" w:rsidP="00C65D58">
            <w:pPr>
              <w:rPr>
                <w:rFonts w:ascii="Tahoma" w:hAnsi="Tahoma" w:cs="Tahoma"/>
                <w:b/>
                <w:i/>
                <w:color w:val="548DD4" w:themeColor="text2" w:themeTint="99"/>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In addition to University Requirements:</w:t>
            </w:r>
          </w:p>
          <w:p w:rsidR="00C65D58" w:rsidRPr="00C65D58" w:rsidRDefault="00C65D58" w:rsidP="00C65D58">
            <w:pPr>
              <w:rPr>
                <w:rFonts w:ascii="Tahoma" w:hAnsi="Tahoma" w:cs="Tahoma"/>
                <w:sz w:val="24"/>
                <w:szCs w:val="24"/>
              </w:rPr>
            </w:pP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 xml:space="preserve">At least 57 units of </w:t>
            </w:r>
            <w:proofErr w:type="spellStart"/>
            <w:r w:rsidRPr="00C65D58">
              <w:rPr>
                <w:rFonts w:ascii="Tahoma" w:hAnsi="Tahoma" w:cs="Tahoma"/>
                <w:sz w:val="24"/>
                <w:szCs w:val="24"/>
              </w:rPr>
              <w:t>preprofessional</w:t>
            </w:r>
            <w:proofErr w:type="spellEnd"/>
            <w:r w:rsidRPr="00C65D58">
              <w:rPr>
                <w:rFonts w:ascii="Tahoma" w:hAnsi="Tahoma" w:cs="Tahoma"/>
                <w:sz w:val="24"/>
                <w:szCs w:val="24"/>
              </w:rPr>
              <w:t xml:space="preserve"> requirements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At least 53 units of major courses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Be aware that you may not use courses with a CENE prefix to satisfy liberal studies requirements</w:t>
            </w:r>
          </w:p>
          <w:p w:rsidR="00C65D58" w:rsidRPr="00C65D58" w:rsidRDefault="00C65D58" w:rsidP="00C65D58">
            <w:pPr>
              <w:pStyle w:val="ListParagraph"/>
              <w:numPr>
                <w:ilvl w:val="0"/>
                <w:numId w:val="4"/>
              </w:numPr>
              <w:rPr>
                <w:rFonts w:ascii="Tahoma" w:hAnsi="Tahoma" w:cs="Tahoma"/>
                <w:sz w:val="24"/>
                <w:szCs w:val="24"/>
              </w:rPr>
            </w:pPr>
            <w:r w:rsidRPr="00C65D58">
              <w:rPr>
                <w:rFonts w:ascii="Tahoma" w:hAnsi="Tahoma" w:cs="Tahoma"/>
                <w:sz w:val="24"/>
                <w:szCs w:val="24"/>
              </w:rPr>
              <w:t>Elective courses, if needed, to reach an overall total of at least 130 units</w:t>
            </w:r>
          </w:p>
          <w:p w:rsidR="00C65D58" w:rsidRPr="00C65D58" w:rsidRDefault="00C65D58" w:rsidP="00C65D58">
            <w:pPr>
              <w:rPr>
                <w:rFonts w:ascii="Tahoma" w:hAnsi="Tahoma" w:cs="Tahoma"/>
                <w:sz w:val="24"/>
                <w:szCs w:val="24"/>
              </w:rPr>
            </w:pPr>
          </w:p>
          <w:p w:rsidR="00C65D58" w:rsidRPr="00C65D58" w:rsidRDefault="00C65D58" w:rsidP="00C65D58">
            <w:pPr>
              <w:rPr>
                <w:rFonts w:ascii="Tahoma" w:hAnsi="Tahoma" w:cs="Tahoma"/>
                <w:sz w:val="24"/>
                <w:szCs w:val="24"/>
              </w:rPr>
            </w:pPr>
            <w:r w:rsidRPr="00C65D58">
              <w:rPr>
                <w:rFonts w:ascii="Tahoma" w:hAnsi="Tahoma" w:cs="Tahoma"/>
                <w:sz w:val="24"/>
                <w:szCs w:val="24"/>
              </w:rPr>
              <w:t>Please note that you may be able to use some courses to meet more than one requirement. Contact your advisor for details.</w:t>
            </w:r>
          </w:p>
          <w:p w:rsidR="00C65D58" w:rsidRDefault="00C65D58" w:rsidP="00C65D58">
            <w:pPr>
              <w:rPr>
                <w:rFonts w:ascii="Tahoma" w:hAnsi="Tahoma" w:cs="Tahoma"/>
                <w:sz w:val="24"/>
                <w:szCs w:val="24"/>
              </w:rPr>
            </w:pPr>
          </w:p>
          <w:tbl>
            <w:tblPr>
              <w:tblW w:w="62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547"/>
            </w:tblGrid>
            <w:tr w:rsidR="00C65D58" w:rsidTr="00962FA7">
              <w:trPr>
                <w:tblHeader/>
                <w:tblCellSpacing w:w="15" w:type="dxa"/>
              </w:trPr>
              <w:tc>
                <w:tcPr>
                  <w:tcW w:w="2650" w:type="dxa"/>
                  <w:vAlign w:val="center"/>
                  <w:hideMark/>
                </w:tcPr>
                <w:p w:rsidR="00C65D58" w:rsidRDefault="00C65D58" w:rsidP="00962FA7">
                  <w:pPr>
                    <w:rPr>
                      <w:sz w:val="24"/>
                      <w:szCs w:val="24"/>
                    </w:rPr>
                  </w:pPr>
                  <w:r>
                    <w:t>Minimum Units for Completion</w:t>
                  </w:r>
                </w:p>
              </w:tc>
              <w:tc>
                <w:tcPr>
                  <w:tcW w:w="3502" w:type="dxa"/>
                  <w:vAlign w:val="center"/>
                  <w:hideMark/>
                </w:tcPr>
                <w:p w:rsidR="00C65D58" w:rsidRDefault="00C65D58" w:rsidP="00962FA7">
                  <w:pPr>
                    <w:rPr>
                      <w:sz w:val="24"/>
                      <w:szCs w:val="24"/>
                    </w:rPr>
                  </w:pPr>
                  <w:r>
                    <w:t>130</w:t>
                  </w:r>
                </w:p>
              </w:tc>
            </w:tr>
            <w:tr w:rsidR="00C65D58" w:rsidTr="00962FA7">
              <w:trPr>
                <w:tblCellSpacing w:w="15" w:type="dxa"/>
              </w:trPr>
              <w:tc>
                <w:tcPr>
                  <w:tcW w:w="2650" w:type="dxa"/>
                  <w:vAlign w:val="center"/>
                  <w:hideMark/>
                </w:tcPr>
                <w:p w:rsidR="00C65D58" w:rsidRDefault="00C65D58" w:rsidP="00962FA7">
                  <w:pPr>
                    <w:rPr>
                      <w:sz w:val="24"/>
                      <w:szCs w:val="24"/>
                    </w:rPr>
                  </w:pPr>
                  <w:r>
                    <w:t>Mathematics Required</w:t>
                  </w:r>
                </w:p>
              </w:tc>
              <w:tc>
                <w:tcPr>
                  <w:tcW w:w="3502" w:type="dxa"/>
                  <w:vAlign w:val="center"/>
                  <w:hideMark/>
                </w:tcPr>
                <w:p w:rsidR="00C65D58" w:rsidRDefault="009839D0" w:rsidP="00962FA7">
                  <w:pPr>
                    <w:rPr>
                      <w:sz w:val="24"/>
                      <w:szCs w:val="24"/>
                    </w:rPr>
                  </w:pPr>
                  <w:hyperlink r:id="rId14" w:tgtFrame="_blank" w:history="1">
                    <w:r w:rsidR="00C65D58">
                      <w:rPr>
                        <w:rStyle w:val="Hyperlink"/>
                      </w:rPr>
                      <w:t>MAT 239</w:t>
                    </w:r>
                  </w:hyperlink>
                </w:p>
              </w:tc>
            </w:tr>
            <w:tr w:rsidR="00C65D58" w:rsidTr="00962FA7">
              <w:trPr>
                <w:tblCellSpacing w:w="15" w:type="dxa"/>
              </w:trPr>
              <w:tc>
                <w:tcPr>
                  <w:tcW w:w="2650" w:type="dxa"/>
                  <w:vAlign w:val="center"/>
                  <w:hideMark/>
                </w:tcPr>
                <w:p w:rsidR="00C65D58" w:rsidRDefault="00C65D58" w:rsidP="00962FA7">
                  <w:pPr>
                    <w:rPr>
                      <w:sz w:val="24"/>
                      <w:szCs w:val="24"/>
                    </w:rPr>
                  </w:pPr>
                  <w:r>
                    <w:t>Additional Fees/Program Fees</w:t>
                  </w:r>
                </w:p>
              </w:tc>
              <w:tc>
                <w:tcPr>
                  <w:tcW w:w="3502" w:type="dxa"/>
                  <w:vAlign w:val="center"/>
                  <w:hideMark/>
                </w:tcPr>
                <w:p w:rsidR="00C65D58" w:rsidRDefault="00C65D58" w:rsidP="00962FA7">
                  <w:pPr>
                    <w:rPr>
                      <w:sz w:val="24"/>
                      <w:szCs w:val="24"/>
                    </w:rPr>
                  </w:pPr>
                  <w:r>
                    <w:t>Required</w:t>
                  </w:r>
                </w:p>
              </w:tc>
            </w:tr>
            <w:tr w:rsidR="00C65D58" w:rsidTr="00962FA7">
              <w:trPr>
                <w:tblCellSpacing w:w="15" w:type="dxa"/>
              </w:trPr>
              <w:tc>
                <w:tcPr>
                  <w:tcW w:w="2650" w:type="dxa"/>
                  <w:vAlign w:val="center"/>
                  <w:hideMark/>
                </w:tcPr>
                <w:p w:rsidR="00C65D58" w:rsidRDefault="00C65D58" w:rsidP="00962FA7">
                  <w:pPr>
                    <w:rPr>
                      <w:sz w:val="24"/>
                      <w:szCs w:val="24"/>
                    </w:rPr>
                  </w:pPr>
                  <w:r>
                    <w:t>University Honors Program</w:t>
                  </w:r>
                </w:p>
              </w:tc>
              <w:tc>
                <w:tcPr>
                  <w:tcW w:w="3502" w:type="dxa"/>
                  <w:vAlign w:val="center"/>
                  <w:hideMark/>
                </w:tcPr>
                <w:p w:rsidR="00C65D58" w:rsidRDefault="00C65D58" w:rsidP="00962FA7">
                  <w:pPr>
                    <w:rPr>
                      <w:sz w:val="24"/>
                      <w:szCs w:val="24"/>
                    </w:rPr>
                  </w:pPr>
                  <w:r>
                    <w:t>Optional</w:t>
                  </w:r>
                </w:p>
              </w:tc>
            </w:tr>
            <w:tr w:rsidR="00C65D58" w:rsidTr="00962FA7">
              <w:trPr>
                <w:tblCellSpacing w:w="15" w:type="dxa"/>
              </w:trPr>
              <w:tc>
                <w:tcPr>
                  <w:tcW w:w="2650" w:type="dxa"/>
                  <w:vAlign w:val="center"/>
                  <w:hideMark/>
                </w:tcPr>
                <w:p w:rsidR="00C65D58" w:rsidRDefault="00C65D58" w:rsidP="00962FA7">
                  <w:pPr>
                    <w:rPr>
                      <w:sz w:val="24"/>
                      <w:szCs w:val="24"/>
                    </w:rPr>
                  </w:pPr>
                  <w:r>
                    <w:t>Integrated Undergraduate/Graduate Plan</w:t>
                  </w:r>
                </w:p>
              </w:tc>
              <w:tc>
                <w:tcPr>
                  <w:tcW w:w="3502" w:type="dxa"/>
                  <w:vAlign w:val="center"/>
                  <w:hideMark/>
                </w:tcPr>
                <w:p w:rsidR="00C65D58" w:rsidRDefault="00C65D58" w:rsidP="00962FA7">
                  <w:pPr>
                    <w:rPr>
                      <w:sz w:val="24"/>
                      <w:szCs w:val="24"/>
                    </w:rPr>
                  </w:pPr>
                  <w:r>
                    <w:t>Optional</w:t>
                  </w:r>
                </w:p>
              </w:tc>
            </w:tr>
            <w:tr w:rsidR="00C65D58" w:rsidTr="00962FA7">
              <w:trPr>
                <w:tblCellSpacing w:w="15" w:type="dxa"/>
              </w:trPr>
              <w:tc>
                <w:tcPr>
                  <w:tcW w:w="2650" w:type="dxa"/>
                  <w:vAlign w:val="center"/>
                  <w:hideMark/>
                </w:tcPr>
                <w:p w:rsidR="00C65D58" w:rsidRDefault="00C65D58" w:rsidP="00962FA7">
                  <w:pPr>
                    <w:rPr>
                      <w:sz w:val="24"/>
                      <w:szCs w:val="24"/>
                    </w:rPr>
                  </w:pPr>
                  <w:r>
                    <w:t>Progression Plan</w:t>
                  </w:r>
                </w:p>
              </w:tc>
              <w:tc>
                <w:tcPr>
                  <w:tcW w:w="3502" w:type="dxa"/>
                  <w:vAlign w:val="center"/>
                  <w:hideMark/>
                </w:tcPr>
                <w:p w:rsidR="00C65D58" w:rsidRDefault="009839D0" w:rsidP="00962FA7">
                  <w:pPr>
                    <w:rPr>
                      <w:sz w:val="24"/>
                      <w:szCs w:val="24"/>
                    </w:rPr>
                  </w:pPr>
                  <w:hyperlink r:id="rId15" w:anchor="CIEGRBSEX" w:tgtFrame="_blank" w:history="1">
                    <w:r w:rsidR="00C65D58">
                      <w:rPr>
                        <w:rStyle w:val="Hyperlink"/>
                      </w:rPr>
                      <w:t>View Progression Plan</w:t>
                    </w:r>
                  </w:hyperlink>
                </w:p>
              </w:tc>
            </w:tr>
          </w:tbl>
          <w:p w:rsidR="00C65D58" w:rsidRDefault="00C65D58" w:rsidP="00C65D58">
            <w:pPr>
              <w:rPr>
                <w:rFonts w:ascii="Tahoma" w:hAnsi="Tahoma" w:cs="Tahoma"/>
                <w:sz w:val="24"/>
                <w:szCs w:val="24"/>
              </w:rPr>
            </w:pPr>
          </w:p>
          <w:p w:rsidR="00007261" w:rsidRPr="00C65D58" w:rsidRDefault="00007261" w:rsidP="00007261">
            <w:pPr>
              <w:rPr>
                <w:rFonts w:ascii="Tahoma" w:hAnsi="Tahoma" w:cs="Tahoma"/>
                <w:i/>
                <w:sz w:val="24"/>
                <w:szCs w:val="24"/>
              </w:rPr>
            </w:pPr>
            <w:r w:rsidRPr="00C65D58">
              <w:rPr>
                <w:rFonts w:ascii="Tahoma" w:hAnsi="Tahoma" w:cs="Tahoma"/>
                <w:i/>
                <w:sz w:val="24"/>
                <w:szCs w:val="24"/>
              </w:rPr>
              <w:t>Major Requirements</w:t>
            </w:r>
          </w:p>
          <w:p w:rsidR="00007261" w:rsidRPr="00C65D58" w:rsidRDefault="00007261" w:rsidP="00007261">
            <w:pPr>
              <w:rPr>
                <w:rFonts w:ascii="Tahoma" w:hAnsi="Tahoma" w:cs="Tahoma"/>
                <w:sz w:val="24"/>
                <w:szCs w:val="24"/>
              </w:rPr>
            </w:pPr>
            <w:r w:rsidRPr="00C65D58">
              <w:rPr>
                <w:rFonts w:ascii="Tahoma" w:hAnsi="Tahoma" w:cs="Tahoma"/>
                <w:sz w:val="24"/>
                <w:szCs w:val="24"/>
              </w:rPr>
              <w:t>Take the following 110 units:</w:t>
            </w:r>
          </w:p>
          <w:p w:rsidR="00007261" w:rsidRPr="00C65D58" w:rsidRDefault="00007261" w:rsidP="00007261">
            <w:pPr>
              <w:rPr>
                <w:rFonts w:ascii="Tahoma" w:hAnsi="Tahoma" w:cs="Tahoma"/>
                <w:sz w:val="24"/>
                <w:szCs w:val="24"/>
              </w:rPr>
            </w:pPr>
          </w:p>
          <w:p w:rsidR="00007261" w:rsidRPr="00C65D58" w:rsidRDefault="00007261" w:rsidP="00007261">
            <w:pPr>
              <w:rPr>
                <w:rFonts w:ascii="Tahoma" w:hAnsi="Tahoma" w:cs="Tahoma"/>
                <w:sz w:val="24"/>
                <w:szCs w:val="24"/>
              </w:rPr>
            </w:pPr>
            <w:proofErr w:type="spellStart"/>
            <w:r w:rsidRPr="00C65D58">
              <w:rPr>
                <w:rFonts w:ascii="Tahoma" w:hAnsi="Tahoma" w:cs="Tahoma"/>
                <w:sz w:val="24"/>
                <w:szCs w:val="24"/>
              </w:rPr>
              <w:t>Preprofessional</w:t>
            </w:r>
            <w:proofErr w:type="spellEnd"/>
            <w:r w:rsidRPr="00C65D58">
              <w:rPr>
                <w:rFonts w:ascii="Tahoma" w:hAnsi="Tahoma" w:cs="Tahoma"/>
                <w:sz w:val="24"/>
                <w:szCs w:val="24"/>
              </w:rPr>
              <w:t xml:space="preserve"> Requirements (57 units)</w:t>
            </w:r>
          </w:p>
          <w:p w:rsid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Mathematics and Science courses (30 units)</w:t>
            </w:r>
          </w:p>
          <w:p w:rsidR="00007261" w:rsidRPr="00007261" w:rsidRDefault="00007261" w:rsidP="00007261">
            <w:pPr>
              <w:pStyle w:val="ListParagraph"/>
              <w:numPr>
                <w:ilvl w:val="0"/>
                <w:numId w:val="11"/>
              </w:numPr>
              <w:rPr>
                <w:rFonts w:ascii="Tahoma" w:hAnsi="Tahoma" w:cs="Tahoma"/>
                <w:sz w:val="24"/>
                <w:szCs w:val="24"/>
              </w:rPr>
            </w:pPr>
            <w:r w:rsidRPr="00007261">
              <w:rPr>
                <w:rFonts w:ascii="Tahoma" w:hAnsi="Tahoma" w:cs="Tahoma"/>
                <w:sz w:val="24"/>
                <w:szCs w:val="24"/>
              </w:rPr>
              <w:t>MAT 136*, MAT 137*, MAT 238*, MAT 239 (15 units)</w:t>
            </w:r>
          </w:p>
          <w:p w:rsidR="00007261" w:rsidRPr="00007261" w:rsidRDefault="00007261" w:rsidP="00007261">
            <w:pPr>
              <w:pStyle w:val="ListParagraph"/>
              <w:numPr>
                <w:ilvl w:val="0"/>
                <w:numId w:val="11"/>
              </w:numPr>
              <w:rPr>
                <w:rFonts w:ascii="Tahoma" w:hAnsi="Tahoma" w:cs="Tahoma"/>
                <w:sz w:val="24"/>
                <w:szCs w:val="24"/>
              </w:rPr>
            </w:pPr>
            <w:r w:rsidRPr="00007261">
              <w:rPr>
                <w:rFonts w:ascii="Tahoma" w:hAnsi="Tahoma" w:cs="Tahoma"/>
                <w:sz w:val="24"/>
                <w:szCs w:val="24"/>
              </w:rPr>
              <w:t>CHM 151*, CHM 151L (5 units)</w:t>
            </w:r>
          </w:p>
          <w:p w:rsidR="00007261" w:rsidRPr="00007261" w:rsidRDefault="00007261" w:rsidP="00007261">
            <w:pPr>
              <w:pStyle w:val="ListParagraph"/>
              <w:numPr>
                <w:ilvl w:val="0"/>
                <w:numId w:val="11"/>
              </w:numPr>
              <w:rPr>
                <w:rFonts w:ascii="Tahoma" w:hAnsi="Tahoma" w:cs="Tahoma"/>
                <w:sz w:val="24"/>
                <w:szCs w:val="24"/>
              </w:rPr>
            </w:pPr>
            <w:r w:rsidRPr="00007261">
              <w:rPr>
                <w:rFonts w:ascii="Tahoma" w:hAnsi="Tahoma" w:cs="Tahoma"/>
                <w:sz w:val="24"/>
                <w:szCs w:val="24"/>
              </w:rPr>
              <w:t>PHY 161*, PHY 262* (7 units)</w:t>
            </w:r>
          </w:p>
          <w:p w:rsidR="00007261" w:rsidRPr="00007261" w:rsidRDefault="00007261" w:rsidP="00007261">
            <w:pPr>
              <w:pStyle w:val="ListParagraph"/>
              <w:numPr>
                <w:ilvl w:val="0"/>
                <w:numId w:val="11"/>
              </w:numPr>
              <w:rPr>
                <w:rFonts w:ascii="Tahoma" w:hAnsi="Tahoma" w:cs="Tahoma"/>
                <w:sz w:val="24"/>
                <w:szCs w:val="24"/>
              </w:rPr>
            </w:pPr>
            <w:r w:rsidRPr="00007261">
              <w:rPr>
                <w:rFonts w:ascii="Tahoma" w:hAnsi="Tahoma" w:cs="Tahoma"/>
                <w:sz w:val="24"/>
                <w:szCs w:val="24"/>
              </w:rPr>
              <w:t>Select from: (BIO 181 and BIO 181L), (BIO 182 and BIO 182L), (GLG 101 and GLG 103), GLG 107, (GLG 112 and GLG 112L), GLG 115,  ENV 230 (3-4 units)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Engineering Science courses (24 units)</w:t>
            </w:r>
          </w:p>
          <w:p w:rsidR="00007261" w:rsidRPr="00007261" w:rsidRDefault="00007261" w:rsidP="00007261">
            <w:pPr>
              <w:pStyle w:val="ListParagraph"/>
              <w:numPr>
                <w:ilvl w:val="0"/>
                <w:numId w:val="9"/>
              </w:numPr>
              <w:rPr>
                <w:rFonts w:ascii="Tahoma" w:hAnsi="Tahoma" w:cs="Tahoma"/>
                <w:sz w:val="24"/>
                <w:szCs w:val="24"/>
              </w:rPr>
            </w:pPr>
            <w:r w:rsidRPr="00007261">
              <w:rPr>
                <w:rFonts w:ascii="Tahoma" w:hAnsi="Tahoma" w:cs="Tahoma"/>
                <w:sz w:val="24"/>
                <w:szCs w:val="24"/>
              </w:rPr>
              <w:lastRenderedPageBreak/>
              <w:t>EGR 186* (3 units)</w:t>
            </w:r>
          </w:p>
          <w:p w:rsidR="00007261" w:rsidRPr="00007261" w:rsidRDefault="00007261" w:rsidP="00007261">
            <w:pPr>
              <w:pStyle w:val="ListParagraph"/>
              <w:numPr>
                <w:ilvl w:val="0"/>
                <w:numId w:val="9"/>
              </w:numPr>
              <w:rPr>
                <w:rFonts w:ascii="Tahoma" w:hAnsi="Tahoma" w:cs="Tahoma"/>
                <w:sz w:val="24"/>
                <w:szCs w:val="24"/>
              </w:rPr>
            </w:pPr>
            <w:r w:rsidRPr="00007261">
              <w:rPr>
                <w:rFonts w:ascii="Tahoma" w:hAnsi="Tahoma" w:cs="Tahoma"/>
                <w:sz w:val="24"/>
                <w:szCs w:val="24"/>
              </w:rPr>
              <w:t>CENE 180*, CENE 225*, CENE 251*, CENE 253*, CENE 253L, CENE 286* (15 units)</w:t>
            </w:r>
          </w:p>
          <w:p w:rsidR="00007261" w:rsidRPr="00007261" w:rsidRDefault="00007261" w:rsidP="00007261">
            <w:pPr>
              <w:pStyle w:val="ListParagraph"/>
              <w:numPr>
                <w:ilvl w:val="0"/>
                <w:numId w:val="9"/>
              </w:numPr>
              <w:rPr>
                <w:rFonts w:ascii="Tahoma" w:hAnsi="Tahoma" w:cs="Tahoma"/>
                <w:sz w:val="24"/>
                <w:szCs w:val="24"/>
              </w:rPr>
            </w:pPr>
            <w:r w:rsidRPr="00007261">
              <w:rPr>
                <w:rFonts w:ascii="Tahoma" w:hAnsi="Tahoma" w:cs="Tahoma"/>
                <w:sz w:val="24"/>
                <w:szCs w:val="24"/>
              </w:rPr>
              <w:t>ME 252, ME 291 (6 units)</w:t>
            </w:r>
          </w:p>
          <w:p w:rsidR="00007261" w:rsidRPr="00007261" w:rsidRDefault="00007261" w:rsidP="00007261">
            <w:pPr>
              <w:rPr>
                <w:rFonts w:ascii="Tahoma" w:hAnsi="Tahoma" w:cs="Tahoma"/>
                <w:sz w:val="24"/>
                <w:szCs w:val="24"/>
              </w:rPr>
            </w:pPr>
            <w:r w:rsidRPr="00007261">
              <w:rPr>
                <w:rFonts w:ascii="Tahoma" w:hAnsi="Tahoma" w:cs="Tahoma"/>
                <w:sz w:val="24"/>
                <w:szCs w:val="24"/>
              </w:rPr>
              <w:t>Additional requirements include:</w:t>
            </w:r>
          </w:p>
          <w:p w:rsidR="00007261" w:rsidRPr="00007261" w:rsidRDefault="00007261" w:rsidP="00007261">
            <w:pPr>
              <w:pStyle w:val="ListParagraph"/>
              <w:numPr>
                <w:ilvl w:val="0"/>
                <w:numId w:val="7"/>
              </w:numPr>
              <w:rPr>
                <w:rFonts w:ascii="Tahoma" w:hAnsi="Tahoma" w:cs="Tahoma"/>
                <w:sz w:val="24"/>
                <w:szCs w:val="24"/>
              </w:rPr>
            </w:pPr>
            <w:r w:rsidRPr="00007261">
              <w:rPr>
                <w:rFonts w:ascii="Tahoma" w:hAnsi="Tahoma" w:cs="Tahoma"/>
                <w:sz w:val="24"/>
                <w:szCs w:val="24"/>
              </w:rPr>
              <w:t>PHI 105 or PHI 331 (3 units)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Major Courses (53 units)</w:t>
            </w:r>
          </w:p>
          <w:p w:rsidR="00007261" w:rsidRPr="00007261" w:rsidRDefault="00007261" w:rsidP="00007261">
            <w:pPr>
              <w:pStyle w:val="ListParagraph"/>
              <w:numPr>
                <w:ilvl w:val="0"/>
                <w:numId w:val="6"/>
              </w:numPr>
              <w:rPr>
                <w:rFonts w:ascii="Tahoma" w:hAnsi="Tahoma" w:cs="Tahoma"/>
                <w:sz w:val="24"/>
                <w:szCs w:val="24"/>
              </w:rPr>
            </w:pPr>
            <w:r w:rsidRPr="00007261">
              <w:rPr>
                <w:rFonts w:ascii="Tahoma" w:hAnsi="Tahoma" w:cs="Tahoma"/>
                <w:sz w:val="24"/>
                <w:szCs w:val="24"/>
              </w:rPr>
              <w:t>CENE 150, CENE 270*, CENE 333*, CENE 333L, CENE 336*, CENE 376*, CENE 383*, CENE 383L*, CENE 401, CENE 418, CENE 420*, CENE 431, CENE 438, CENE 450, CENE 476* (38 units)</w:t>
            </w:r>
          </w:p>
          <w:p w:rsidR="00007261" w:rsidRPr="00007261" w:rsidRDefault="00007261" w:rsidP="00007261">
            <w:pPr>
              <w:pStyle w:val="ListParagraph"/>
              <w:numPr>
                <w:ilvl w:val="0"/>
                <w:numId w:val="6"/>
              </w:numPr>
              <w:rPr>
                <w:rFonts w:ascii="Tahoma" w:hAnsi="Tahoma" w:cs="Tahoma"/>
                <w:sz w:val="24"/>
                <w:szCs w:val="24"/>
              </w:rPr>
            </w:pPr>
            <w:r w:rsidRPr="00007261">
              <w:rPr>
                <w:rFonts w:ascii="Tahoma" w:hAnsi="Tahoma" w:cs="Tahoma"/>
                <w:sz w:val="24"/>
                <w:szCs w:val="24"/>
              </w:rPr>
              <w:t>EGR 386W * (3 units)</w:t>
            </w:r>
          </w:p>
          <w:p w:rsidR="00007261" w:rsidRPr="00007261" w:rsidRDefault="00007261" w:rsidP="00007261">
            <w:pPr>
              <w:pStyle w:val="ListParagraph"/>
              <w:numPr>
                <w:ilvl w:val="0"/>
                <w:numId w:val="6"/>
              </w:numPr>
              <w:rPr>
                <w:rFonts w:ascii="Tahoma" w:hAnsi="Tahoma" w:cs="Tahoma"/>
                <w:sz w:val="24"/>
                <w:szCs w:val="24"/>
              </w:rPr>
            </w:pPr>
            <w:r w:rsidRPr="00007261">
              <w:rPr>
                <w:rFonts w:ascii="Tahoma" w:hAnsi="Tahoma" w:cs="Tahoma"/>
                <w:sz w:val="24"/>
                <w:szCs w:val="24"/>
              </w:rPr>
              <w:t>CENE 486C (3 units)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Select Technical coursework; including at least 6 units with CENE prefixes, from (9 units):</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CENE 280, CENE 330, CENE 332, CENE 335, CENE 410, CENE 434, CENE 436, CENE 437, CENE 440, CENE 457, CENE 460, CENE 462, CENE 477, CENE 485, CENE 497, CENE 499, CENE 540, CENE 541, CENE 543, CENE 545, CENE 550, CENE 551, CENE 560, CENE 562, CENE 568</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 xml:space="preserve">CM 329, CM 388, CM 391, CM 460, </w:t>
            </w:r>
            <w:r w:rsidRPr="00007261">
              <w:rPr>
                <w:rFonts w:ascii="Tahoma" w:hAnsi="Tahoma" w:cs="Tahoma"/>
                <w:b/>
                <w:strike/>
                <w:color w:val="FF0000"/>
                <w:sz w:val="24"/>
                <w:szCs w:val="24"/>
              </w:rPr>
              <w:t>CM 499</w:t>
            </w:r>
            <w:r>
              <w:rPr>
                <w:rFonts w:ascii="Tahoma" w:hAnsi="Tahoma" w:cs="Tahoma"/>
                <w:b/>
                <w:strike/>
                <w:color w:val="FF0000"/>
                <w:sz w:val="24"/>
                <w:szCs w:val="24"/>
              </w:rPr>
              <w:t xml:space="preserve">, </w:t>
            </w:r>
            <w:r w:rsidRPr="00007261">
              <w:rPr>
                <w:rFonts w:ascii="Tahoma" w:hAnsi="Tahoma" w:cs="Tahoma"/>
                <w:b/>
                <w:sz w:val="24"/>
                <w:szCs w:val="24"/>
              </w:rPr>
              <w:t>CM 403</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CS 122</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EE 188</w:t>
            </w:r>
          </w:p>
          <w:p w:rsidR="00007261" w:rsidRPr="00007261" w:rsidRDefault="00007261" w:rsidP="00007261">
            <w:pPr>
              <w:pStyle w:val="ListParagraph"/>
              <w:numPr>
                <w:ilvl w:val="0"/>
                <w:numId w:val="5"/>
              </w:numPr>
              <w:rPr>
                <w:rFonts w:ascii="Tahoma" w:hAnsi="Tahoma" w:cs="Tahoma"/>
                <w:sz w:val="24"/>
                <w:szCs w:val="24"/>
              </w:rPr>
            </w:pPr>
            <w:r w:rsidRPr="00007261">
              <w:rPr>
                <w:rFonts w:ascii="Tahoma" w:hAnsi="Tahoma" w:cs="Tahoma"/>
                <w:sz w:val="24"/>
                <w:szCs w:val="24"/>
              </w:rPr>
              <w:t>ME 340, ME 435, ME 450, ME 451, ME 454, ME 455</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w:t>
            </w:r>
            <w:proofErr w:type="spellStart"/>
            <w:r w:rsidRPr="00007261">
              <w:rPr>
                <w:rFonts w:ascii="Tahoma" w:hAnsi="Tahoma" w:cs="Tahoma"/>
                <w:sz w:val="24"/>
                <w:szCs w:val="24"/>
              </w:rPr>
              <w:t>Prerequisities</w:t>
            </w:r>
            <w:proofErr w:type="spellEnd"/>
            <w:r w:rsidRPr="00007261">
              <w:rPr>
                <w:rFonts w:ascii="Tahoma" w:hAnsi="Tahoma" w:cs="Tahoma"/>
                <w:sz w:val="24"/>
                <w:szCs w:val="24"/>
              </w:rPr>
              <w:t xml:space="preserve"> to Engineering coursework that must be completed with grades of "C" or better. In addition, ENG 105 must be completed with a grade of "C" or better.</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If you wish to enhance your education in the area of environmental engineering, mechanical engineering, mathematics, or construction management, you can easily pursue a minor in each discipline with the addition of a small number of courses and by consulting with the respective disciplinary advisors.</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i/>
                <w:sz w:val="24"/>
                <w:szCs w:val="24"/>
              </w:rPr>
            </w:pPr>
            <w:r w:rsidRPr="00007261">
              <w:rPr>
                <w:rFonts w:ascii="Tahoma" w:hAnsi="Tahoma" w:cs="Tahoma"/>
                <w:i/>
                <w:sz w:val="24"/>
                <w:szCs w:val="24"/>
              </w:rPr>
              <w:t>General Electives</w:t>
            </w:r>
          </w:p>
          <w:p w:rsidR="00007261" w:rsidRPr="00007261" w:rsidRDefault="00007261" w:rsidP="00007261">
            <w:pPr>
              <w:rPr>
                <w:rFonts w:ascii="Tahoma" w:hAnsi="Tahoma" w:cs="Tahoma"/>
                <w:sz w:val="24"/>
                <w:szCs w:val="24"/>
              </w:rPr>
            </w:pPr>
            <w:r w:rsidRPr="00007261">
              <w:rPr>
                <w:rFonts w:ascii="Tahoma" w:hAnsi="Tahoma" w:cs="Tahoma"/>
                <w:sz w:val="24"/>
                <w:szCs w:val="24"/>
              </w:rPr>
              <w:t xml:space="preserve">Additional coursework is required, if, after you have met the previously described requirements, </w:t>
            </w:r>
            <w:r w:rsidRPr="00007261">
              <w:rPr>
                <w:rFonts w:ascii="Tahoma" w:hAnsi="Tahoma" w:cs="Tahoma"/>
                <w:sz w:val="24"/>
                <w:szCs w:val="24"/>
              </w:rPr>
              <w:lastRenderedPageBreak/>
              <w:t xml:space="preserve">you have not yet completed a total of 130-136 units of credit.  </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07261" w:rsidRPr="00007261" w:rsidRDefault="00007261" w:rsidP="00007261">
            <w:pPr>
              <w:rPr>
                <w:rFonts w:ascii="Tahoma" w:hAnsi="Tahoma" w:cs="Tahoma"/>
                <w:sz w:val="24"/>
                <w:szCs w:val="24"/>
              </w:rPr>
            </w:pPr>
          </w:p>
          <w:p w:rsidR="00007261" w:rsidRDefault="00007261" w:rsidP="00007261">
            <w:pPr>
              <w:rPr>
                <w:rFonts w:ascii="Tahoma" w:hAnsi="Tahoma" w:cs="Tahoma"/>
                <w:i/>
                <w:sz w:val="24"/>
                <w:szCs w:val="24"/>
              </w:rPr>
            </w:pPr>
            <w:r w:rsidRPr="00007261">
              <w:rPr>
                <w:rFonts w:ascii="Tahoma" w:hAnsi="Tahoma" w:cs="Tahoma"/>
                <w:i/>
                <w:sz w:val="24"/>
                <w:szCs w:val="24"/>
              </w:rPr>
              <w:t>Additional Information</w:t>
            </w:r>
          </w:p>
          <w:p w:rsidR="00007261" w:rsidRPr="00F7256B" w:rsidRDefault="00007261" w:rsidP="00007261">
            <w:pPr>
              <w:pStyle w:val="ListParagraph"/>
              <w:numPr>
                <w:ilvl w:val="0"/>
                <w:numId w:val="12"/>
              </w:numPr>
              <w:rPr>
                <w:rFonts w:ascii="Tahoma" w:hAnsi="Tahoma" w:cs="Tahoma"/>
                <w:b/>
                <w:sz w:val="24"/>
                <w:szCs w:val="24"/>
              </w:rPr>
            </w:pPr>
            <w:r w:rsidRPr="00F7256B">
              <w:rPr>
                <w:rFonts w:ascii="Tahoma" w:hAnsi="Tahoma" w:cs="Tahoma"/>
                <w:b/>
                <w:sz w:val="24"/>
                <w:szCs w:val="24"/>
              </w:rPr>
              <w:t>Our overarching learning goals are stated as our Program Objectives; within three to five years of obtaining a bachelor's degree, a graduate is expected to achieve the following:</w:t>
            </w:r>
          </w:p>
          <w:p w:rsidR="00007261" w:rsidRPr="001C5F89" w:rsidRDefault="00007261" w:rsidP="00007261">
            <w:pPr>
              <w:pStyle w:val="ListParagraph"/>
              <w:numPr>
                <w:ilvl w:val="0"/>
                <w:numId w:val="13"/>
              </w:numPr>
              <w:rPr>
                <w:rFonts w:ascii="Tahoma" w:hAnsi="Tahoma" w:cs="Tahoma"/>
                <w:b/>
                <w:sz w:val="24"/>
                <w:szCs w:val="24"/>
              </w:rPr>
            </w:pPr>
            <w:r w:rsidRPr="001C5F89">
              <w:rPr>
                <w:rFonts w:ascii="Tahoma" w:hAnsi="Tahoma" w:cs="Tahoma"/>
                <w:b/>
                <w:sz w:val="24"/>
                <w:szCs w:val="24"/>
              </w:rPr>
              <w:t xml:space="preserve">Be employed in the engineering field or </w:t>
            </w:r>
            <w:r>
              <w:rPr>
                <w:rFonts w:ascii="Tahoma" w:hAnsi="Tahoma" w:cs="Tahoma"/>
                <w:b/>
                <w:sz w:val="24"/>
                <w:szCs w:val="24"/>
              </w:rPr>
              <w:t xml:space="preserve">a professional field consistent with one’s career goals, or </w:t>
            </w:r>
            <w:r w:rsidRPr="001C5F89">
              <w:rPr>
                <w:rFonts w:ascii="Tahoma" w:hAnsi="Tahoma" w:cs="Tahoma"/>
                <w:b/>
                <w:sz w:val="24"/>
                <w:szCs w:val="24"/>
              </w:rPr>
              <w:t xml:space="preserve">pursuing a </w:t>
            </w:r>
            <w:r>
              <w:rPr>
                <w:rFonts w:ascii="Tahoma" w:hAnsi="Tahoma" w:cs="Tahoma"/>
                <w:b/>
                <w:sz w:val="24"/>
                <w:szCs w:val="24"/>
              </w:rPr>
              <w:t>graduate degree</w:t>
            </w:r>
            <w:r w:rsidRPr="001C5F89">
              <w:rPr>
                <w:rFonts w:ascii="Tahoma" w:hAnsi="Tahoma" w:cs="Tahoma"/>
                <w:b/>
                <w:sz w:val="24"/>
                <w:szCs w:val="24"/>
              </w:rPr>
              <w:t>;</w:t>
            </w:r>
          </w:p>
          <w:p w:rsidR="00007261" w:rsidRPr="001C5F89" w:rsidRDefault="00007261" w:rsidP="00007261">
            <w:pPr>
              <w:pStyle w:val="ListParagraph"/>
              <w:numPr>
                <w:ilvl w:val="0"/>
                <w:numId w:val="13"/>
              </w:numPr>
              <w:rPr>
                <w:rFonts w:ascii="Tahoma" w:hAnsi="Tahoma" w:cs="Tahoma"/>
                <w:b/>
                <w:sz w:val="24"/>
                <w:szCs w:val="24"/>
              </w:rPr>
            </w:pPr>
            <w:r>
              <w:rPr>
                <w:rFonts w:ascii="Tahoma" w:hAnsi="Tahoma" w:cs="Tahoma"/>
                <w:b/>
                <w:sz w:val="24"/>
                <w:szCs w:val="24"/>
              </w:rPr>
              <w:t>P</w:t>
            </w:r>
            <w:r w:rsidRPr="001C5F89">
              <w:rPr>
                <w:rFonts w:ascii="Tahoma" w:hAnsi="Tahoma" w:cs="Tahoma"/>
                <w:b/>
                <w:sz w:val="24"/>
                <w:szCs w:val="24"/>
              </w:rPr>
              <w:t>articipat</w:t>
            </w:r>
            <w:r>
              <w:rPr>
                <w:rFonts w:ascii="Tahoma" w:hAnsi="Tahoma" w:cs="Tahoma"/>
                <w:b/>
                <w:sz w:val="24"/>
                <w:szCs w:val="24"/>
              </w:rPr>
              <w:t>e</w:t>
            </w:r>
            <w:r w:rsidRPr="001C5F89">
              <w:rPr>
                <w:rFonts w:ascii="Tahoma" w:hAnsi="Tahoma" w:cs="Tahoma"/>
                <w:b/>
                <w:sz w:val="24"/>
                <w:szCs w:val="24"/>
              </w:rPr>
              <w:t xml:space="preserve"> in </w:t>
            </w:r>
            <w:r>
              <w:rPr>
                <w:rFonts w:ascii="Tahoma" w:hAnsi="Tahoma" w:cs="Tahoma"/>
                <w:b/>
                <w:sz w:val="24"/>
                <w:szCs w:val="24"/>
              </w:rPr>
              <w:t>continuing education or professional</w:t>
            </w:r>
            <w:r w:rsidRPr="001C5F89">
              <w:rPr>
                <w:rFonts w:ascii="Tahoma" w:hAnsi="Tahoma" w:cs="Tahoma"/>
                <w:b/>
                <w:sz w:val="24"/>
                <w:szCs w:val="24"/>
              </w:rPr>
              <w:t xml:space="preserve"> development activities;</w:t>
            </w:r>
          </w:p>
          <w:p w:rsidR="00007261" w:rsidRPr="001C5F89" w:rsidRDefault="00007261" w:rsidP="00007261">
            <w:pPr>
              <w:pStyle w:val="ListParagraph"/>
              <w:numPr>
                <w:ilvl w:val="0"/>
                <w:numId w:val="13"/>
              </w:numPr>
              <w:rPr>
                <w:rFonts w:ascii="Tahoma" w:hAnsi="Tahoma" w:cs="Tahoma"/>
                <w:b/>
                <w:sz w:val="24"/>
                <w:szCs w:val="24"/>
              </w:rPr>
            </w:pPr>
            <w:r w:rsidRPr="001C5F89">
              <w:rPr>
                <w:rFonts w:ascii="Tahoma" w:hAnsi="Tahoma" w:cs="Tahoma"/>
                <w:b/>
                <w:sz w:val="24"/>
                <w:szCs w:val="24"/>
              </w:rPr>
              <w:t xml:space="preserve">Be a registered professional engineer or be </w:t>
            </w:r>
            <w:r>
              <w:rPr>
                <w:rFonts w:ascii="Tahoma" w:hAnsi="Tahoma" w:cs="Tahoma"/>
                <w:b/>
                <w:sz w:val="24"/>
                <w:szCs w:val="24"/>
              </w:rPr>
              <w:t>pursuing registration if consistent with one’s career goals</w:t>
            </w:r>
            <w:r w:rsidRPr="001C5F89">
              <w:rPr>
                <w:rFonts w:ascii="Tahoma" w:hAnsi="Tahoma" w:cs="Tahoma"/>
                <w:b/>
                <w:sz w:val="24"/>
                <w:szCs w:val="24"/>
              </w:rPr>
              <w:t>;</w:t>
            </w:r>
          </w:p>
          <w:p w:rsidR="00007261" w:rsidRDefault="00007261" w:rsidP="00007261">
            <w:pPr>
              <w:pStyle w:val="ListParagraph"/>
              <w:numPr>
                <w:ilvl w:val="0"/>
                <w:numId w:val="13"/>
              </w:numPr>
              <w:rPr>
                <w:rFonts w:ascii="Tahoma" w:hAnsi="Tahoma" w:cs="Tahoma"/>
                <w:b/>
                <w:sz w:val="24"/>
                <w:szCs w:val="24"/>
              </w:rPr>
            </w:pPr>
            <w:r w:rsidRPr="001C5F89">
              <w:rPr>
                <w:rFonts w:ascii="Tahoma" w:hAnsi="Tahoma" w:cs="Tahoma"/>
                <w:b/>
                <w:sz w:val="24"/>
                <w:szCs w:val="24"/>
              </w:rPr>
              <w:t xml:space="preserve">Demonstrate </w:t>
            </w:r>
            <w:r>
              <w:rPr>
                <w:rFonts w:ascii="Tahoma" w:hAnsi="Tahoma" w:cs="Tahoma"/>
                <w:b/>
                <w:sz w:val="24"/>
                <w:szCs w:val="24"/>
              </w:rPr>
              <w:t xml:space="preserve">a career path that shows development as a leader; and </w:t>
            </w:r>
          </w:p>
          <w:p w:rsidR="00007261" w:rsidRPr="00007261" w:rsidRDefault="00007261" w:rsidP="00007261">
            <w:pPr>
              <w:pStyle w:val="ListParagraph"/>
              <w:numPr>
                <w:ilvl w:val="0"/>
                <w:numId w:val="13"/>
              </w:numPr>
              <w:rPr>
                <w:rFonts w:ascii="Tahoma" w:hAnsi="Tahoma" w:cs="Tahoma"/>
                <w:b/>
                <w:sz w:val="24"/>
                <w:szCs w:val="24"/>
              </w:rPr>
            </w:pPr>
            <w:r w:rsidRPr="00007261">
              <w:rPr>
                <w:rFonts w:ascii="Tahoma" w:hAnsi="Tahoma" w:cs="Tahoma"/>
                <w:b/>
                <w:sz w:val="24"/>
                <w:szCs w:val="24"/>
              </w:rPr>
              <w:t>Engage in activities that benefit society</w:t>
            </w:r>
          </w:p>
          <w:p w:rsidR="00007261" w:rsidRPr="00007261" w:rsidRDefault="00007261" w:rsidP="00007261">
            <w:pPr>
              <w:pStyle w:val="ListParagraph"/>
              <w:numPr>
                <w:ilvl w:val="0"/>
                <w:numId w:val="14"/>
              </w:numPr>
              <w:rPr>
                <w:rFonts w:ascii="Tahoma" w:hAnsi="Tahoma" w:cs="Tahoma"/>
                <w:sz w:val="24"/>
                <w:szCs w:val="24"/>
              </w:rPr>
            </w:pPr>
            <w:r w:rsidRPr="00007261">
              <w:rPr>
                <w:rFonts w:ascii="Tahoma" w:hAnsi="Tahoma" w:cs="Tahoma"/>
                <w:sz w:val="24"/>
                <w:szCs w:val="24"/>
              </w:rPr>
              <w:t xml:space="preserve">You may not have more than one grade of "D" in your required engineering, mathematics, and science courses. </w:t>
            </w:r>
            <w:r w:rsidRPr="00007261">
              <w:rPr>
                <w:rFonts w:ascii="Tahoma" w:hAnsi="Tahoma" w:cs="Tahoma"/>
                <w:b/>
                <w:strike/>
                <w:color w:val="FF0000"/>
                <w:sz w:val="24"/>
                <w:szCs w:val="24"/>
              </w:rPr>
              <w:t>In addition, all prerequisite courses for your engineering courses must be completed with grades of "C" or better.</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sz w:val="24"/>
                <w:szCs w:val="24"/>
              </w:rPr>
            </w:pPr>
            <w:r w:rsidRPr="00007261">
              <w:rPr>
                <w:rFonts w:ascii="Tahoma" w:hAnsi="Tahoma" w:cs="Tahoma"/>
                <w:sz w:val="24"/>
                <w:szCs w:val="24"/>
              </w:rPr>
              <w:t>Be aware that some courses may have prerequisites that you must also take. For prerequisite information click on the course or see your advisor.</w:t>
            </w:r>
          </w:p>
          <w:p w:rsidR="00007261" w:rsidRPr="00007261" w:rsidRDefault="00007261" w:rsidP="00007261">
            <w:pPr>
              <w:rPr>
                <w:rFonts w:ascii="Tahoma" w:hAnsi="Tahoma" w:cs="Tahoma"/>
                <w:sz w:val="24"/>
                <w:szCs w:val="24"/>
              </w:rPr>
            </w:pPr>
          </w:p>
          <w:p w:rsidR="00007261" w:rsidRPr="00007261" w:rsidRDefault="00007261" w:rsidP="00007261">
            <w:pPr>
              <w:rPr>
                <w:rFonts w:ascii="Tahoma" w:hAnsi="Tahoma" w:cs="Tahoma"/>
                <w:i/>
                <w:sz w:val="24"/>
                <w:szCs w:val="24"/>
              </w:rPr>
            </w:pPr>
            <w:r w:rsidRPr="00007261">
              <w:rPr>
                <w:rFonts w:ascii="Tahoma" w:hAnsi="Tahoma" w:cs="Tahoma"/>
                <w:i/>
                <w:sz w:val="24"/>
                <w:szCs w:val="24"/>
              </w:rPr>
              <w:t>Integrated Undergraduate/Graduate Plan Option</w:t>
            </w:r>
          </w:p>
          <w:p w:rsidR="00007261" w:rsidRPr="00007261" w:rsidRDefault="00007261" w:rsidP="00007261">
            <w:pPr>
              <w:rPr>
                <w:rFonts w:ascii="Tahoma" w:hAnsi="Tahoma" w:cs="Tahoma"/>
                <w:sz w:val="24"/>
                <w:szCs w:val="24"/>
              </w:rPr>
            </w:pPr>
            <w:r w:rsidRPr="00007261">
              <w:rPr>
                <w:rFonts w:ascii="Tahoma" w:hAnsi="Tahoma" w:cs="Tahoma"/>
                <w:sz w:val="24"/>
                <w:szCs w:val="24"/>
              </w:rPr>
              <w:t xml:space="preserve">This program is available as an Integrated Undergraduate/Graduate Plan.  Integrated Programs provide the opportunity for outstanding </w:t>
            </w:r>
            <w:r w:rsidRPr="00007261">
              <w:rPr>
                <w:rFonts w:ascii="Tahoma" w:hAnsi="Tahoma" w:cs="Tahoma"/>
                <w:sz w:val="24"/>
                <w:szCs w:val="24"/>
              </w:rPr>
              <w:lastRenderedPageBreak/>
              <w:t>undergraduates working on their bachelor’s degree to simultaneously begin work on a master’s degree, allowing them to complete both degrees in an accelerated manner.  Students must apply to the master’s program by the application deadline, and meet all requirements as listed on the Integrated Program website (insert link to integrated degree secondary page) to be considered for admission.  Admission to programs is competitive.  Many qualified applicants are denied because of limits on the number of students admitted each year.  Be sure to speak with your advisor regarding your interest in Integrated Programs.</w:t>
            </w:r>
          </w:p>
          <w:p w:rsidR="00007261" w:rsidRPr="00007261" w:rsidRDefault="00007261" w:rsidP="00007261">
            <w:pPr>
              <w:rPr>
                <w:rFonts w:ascii="Tahoma" w:hAnsi="Tahoma" w:cs="Tahoma"/>
                <w:sz w:val="24"/>
                <w:szCs w:val="24"/>
              </w:rPr>
            </w:pPr>
            <w:r w:rsidRPr="00007261">
              <w:rPr>
                <w:rFonts w:ascii="Tahoma" w:hAnsi="Tahoma" w:cs="Tahoma"/>
                <w:sz w:val="24"/>
                <w:szCs w:val="24"/>
              </w:rPr>
              <w:t xml:space="preserve">     </w:t>
            </w:r>
          </w:p>
          <w:p w:rsidR="00007261" w:rsidRPr="00007261" w:rsidRDefault="00007261" w:rsidP="00007261">
            <w:pPr>
              <w:rPr>
                <w:rFonts w:ascii="Tahoma" w:hAnsi="Tahoma" w:cs="Tahoma"/>
                <w:sz w:val="24"/>
                <w:szCs w:val="24"/>
              </w:rPr>
            </w:pPr>
            <w:r w:rsidRPr="00007261">
              <w:rPr>
                <w:rFonts w:ascii="Tahoma" w:hAnsi="Tahoma" w:cs="Tahoma"/>
                <w:sz w:val="24"/>
                <w:szCs w:val="24"/>
              </w:rPr>
              <w:t>PROGRAM FEE INFORMATION</w:t>
            </w:r>
          </w:p>
          <w:p w:rsidR="0065207F" w:rsidRPr="00835C84" w:rsidRDefault="00007261" w:rsidP="00007261">
            <w:pPr>
              <w:rPr>
                <w:rFonts w:ascii="Tahoma" w:hAnsi="Tahoma" w:cs="Tahoma"/>
                <w:sz w:val="24"/>
                <w:szCs w:val="24"/>
              </w:rPr>
            </w:pPr>
            <w:r w:rsidRPr="00007261">
              <w:rPr>
                <w:rFonts w:ascii="Tahoma" w:hAnsi="Tahoma" w:cs="Tahoma"/>
                <w:sz w:val="24"/>
                <w:szCs w:val="24"/>
              </w:rPr>
              <w:t>Program fees are established by the Arizona Board of Regents (ABOR). A program fee of $500 per year in students' Junior and Senior years has been approved for this program.</w:t>
            </w:r>
          </w:p>
          <w:p w:rsidR="0065207F" w:rsidRPr="0065207F" w:rsidRDefault="0065207F">
            <w:pPr>
              <w:rPr>
                <w:sz w:val="24"/>
                <w:szCs w:val="24"/>
              </w:rPr>
            </w:pPr>
          </w:p>
        </w:tc>
      </w:tr>
    </w:tbl>
    <w:p w:rsidR="004A12F3" w:rsidRDefault="004A12F3"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007261" w:rsidRDefault="00007261" w:rsidP="00007261">
      <w:pPr>
        <w:shd w:val="clear" w:color="auto" w:fill="D9D9D9" w:themeFill="background1" w:themeFillShade="D9"/>
        <w:rPr>
          <w:rFonts w:ascii="Arial" w:hAnsi="Arial" w:cs="Arial"/>
          <w:b/>
          <w:sz w:val="24"/>
          <w:szCs w:val="24"/>
        </w:rPr>
      </w:pPr>
      <w:r>
        <w:rPr>
          <w:rFonts w:ascii="Arial" w:hAnsi="Arial" w:cs="Arial"/>
          <w:b/>
          <w:sz w:val="24"/>
          <w:szCs w:val="24"/>
        </w:rPr>
        <w:t>Program Educational Objectives revised / approved by protocol/process for revision; these must be published in catalog as per accreditation requirements.</w:t>
      </w:r>
      <w:r w:rsidR="00803F69">
        <w:rPr>
          <w:rFonts w:ascii="Arial" w:hAnsi="Arial" w:cs="Arial"/>
          <w:b/>
          <w:sz w:val="24"/>
          <w:szCs w:val="24"/>
        </w:rPr>
        <w:br/>
      </w:r>
    </w:p>
    <w:p w:rsidR="00803F69" w:rsidRPr="005960FF" w:rsidRDefault="003F4135" w:rsidP="00007261">
      <w:pPr>
        <w:shd w:val="clear" w:color="auto" w:fill="D9D9D9" w:themeFill="background1" w:themeFillShade="D9"/>
        <w:rPr>
          <w:rFonts w:ascii="Arial" w:hAnsi="Arial" w:cs="Arial"/>
          <w:b/>
          <w:sz w:val="24"/>
          <w:szCs w:val="24"/>
        </w:rPr>
      </w:pPr>
      <w:r>
        <w:rPr>
          <w:rFonts w:ascii="Arial" w:hAnsi="Arial" w:cs="Arial"/>
          <w:b/>
          <w:sz w:val="24"/>
          <w:szCs w:val="24"/>
        </w:rPr>
        <w:t xml:space="preserve">The </w:t>
      </w:r>
      <w:r w:rsidR="00803F69">
        <w:rPr>
          <w:rFonts w:ascii="Arial" w:hAnsi="Arial" w:cs="Arial"/>
          <w:b/>
          <w:sz w:val="24"/>
          <w:szCs w:val="24"/>
        </w:rPr>
        <w:t>CM 499 course was renamed as CM 403.</w:t>
      </w:r>
    </w:p>
    <w:p w:rsidR="008F62B2" w:rsidRDefault="00835C84" w:rsidP="008F62B2">
      <w:pPr>
        <w:shd w:val="clear" w:color="auto" w:fill="D9D9D9" w:themeFill="background1" w:themeFillShade="D9"/>
        <w:rPr>
          <w:rFonts w:ascii="Arial" w:hAnsi="Arial" w:cs="Arial"/>
          <w:b/>
          <w:sz w:val="24"/>
          <w:szCs w:val="24"/>
        </w:rPr>
      </w:pPr>
      <w:r w:rsidRPr="00835C84">
        <w:rPr>
          <w:rFonts w:ascii="Arial" w:hAnsi="Arial" w:cs="Arial"/>
          <w:b/>
          <w:color w:val="FF0000"/>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839D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839D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839D0"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35C84" w:rsidRDefault="00835C84" w:rsidP="0058038B">
            <w:pPr>
              <w:rPr>
                <w:rFonts w:ascii="Arial" w:hAnsi="Arial" w:cs="Arial"/>
                <w:b/>
                <w:sz w:val="24"/>
                <w:szCs w:val="24"/>
              </w:rPr>
            </w:pPr>
            <w:r w:rsidRPr="00835C84">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9839D0">
        <w:rPr>
          <w:rFonts w:ascii="Arial" w:hAnsi="Arial" w:cs="Arial"/>
          <w:sz w:val="24"/>
          <w:szCs w:val="24"/>
        </w:rPr>
        <w:fldChar w:fldCharType="begin">
          <w:ffData>
            <w:name w:val=""/>
            <w:enabled/>
            <w:calcOnExit w:val="0"/>
            <w:checkBox>
              <w:sizeAuto/>
              <w:default w:val="0"/>
            </w:checkBox>
          </w:ffData>
        </w:fldChar>
      </w:r>
      <w:r w:rsidR="00007261">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9839D0">
        <w:rPr>
          <w:rFonts w:ascii="Arial" w:hAnsi="Arial" w:cs="Arial"/>
          <w:sz w:val="24"/>
          <w:szCs w:val="24"/>
        </w:rPr>
        <w:fldChar w:fldCharType="begin">
          <w:ffData>
            <w:name w:val="Check5"/>
            <w:enabled/>
            <w:calcOnExit w:val="0"/>
            <w:checkBox>
              <w:sizeAuto/>
              <w:default w:val="1"/>
            </w:checkBox>
          </w:ffData>
        </w:fldChar>
      </w:r>
      <w:bookmarkStart w:id="3" w:name="Check5"/>
      <w:r w:rsidR="00007261">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Pr="00EA7748" w:rsidRDefault="008F62B2" w:rsidP="008F62B2">
      <w:pPr>
        <w:shd w:val="clear" w:color="auto" w:fill="D9D9D9" w:themeFill="background1" w:themeFillShade="D9"/>
        <w:rPr>
          <w:rFonts w:ascii="Arial" w:hAnsi="Arial" w:cs="Arial"/>
          <w:b/>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839D0">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Pr>
          <w:rFonts w:ascii="Arial" w:hAnsi="Arial" w:cs="Arial"/>
          <w:sz w:val="24"/>
          <w:szCs w:val="24"/>
        </w:rPr>
        <w:fldChar w:fldCharType="end"/>
      </w:r>
      <w:r w:rsidRPr="002B1A53">
        <w:rPr>
          <w:rFonts w:ascii="Arial" w:hAnsi="Arial" w:cs="Arial"/>
          <w:sz w:val="24"/>
          <w:szCs w:val="24"/>
        </w:rPr>
        <w:t xml:space="preserve">      No </w:t>
      </w:r>
      <w:r w:rsidR="009839D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9839D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2B1A53">
        <w:rPr>
          <w:rFonts w:ascii="Arial" w:hAnsi="Arial" w:cs="Arial"/>
          <w:sz w:val="24"/>
          <w:szCs w:val="24"/>
        </w:rPr>
        <w:fldChar w:fldCharType="end"/>
      </w:r>
      <w:r w:rsidRPr="002B1A53">
        <w:rPr>
          <w:rFonts w:ascii="Arial" w:hAnsi="Arial" w:cs="Arial"/>
          <w:sz w:val="24"/>
          <w:szCs w:val="24"/>
        </w:rPr>
        <w:t xml:space="preserve">      No </w:t>
      </w:r>
      <w:r w:rsidR="009839D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839D0">
        <w:rPr>
          <w:rFonts w:ascii="Arial" w:hAnsi="Arial" w:cs="Arial"/>
          <w:sz w:val="24"/>
          <w:szCs w:val="24"/>
        </w:rPr>
        <w:fldChar w:fldCharType="begin">
          <w:ffData>
            <w:name w:val=""/>
            <w:enabled/>
            <w:calcOnExit w:val="0"/>
            <w:checkBox>
              <w:sizeAuto/>
              <w:default w:val="0"/>
            </w:checkBox>
          </w:ffData>
        </w:fldChar>
      </w:r>
      <w:r w:rsidR="00EA774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Pr>
          <w:rFonts w:ascii="Arial" w:hAnsi="Arial" w:cs="Arial"/>
          <w:sz w:val="24"/>
          <w:szCs w:val="24"/>
        </w:rPr>
        <w:fldChar w:fldCharType="end"/>
      </w:r>
      <w:r w:rsidRPr="002B1A53">
        <w:rPr>
          <w:rFonts w:ascii="Arial" w:hAnsi="Arial" w:cs="Arial"/>
          <w:sz w:val="24"/>
          <w:szCs w:val="24"/>
        </w:rPr>
        <w:t xml:space="preserve">      No </w:t>
      </w:r>
      <w:r w:rsidR="009839D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Pr="0027415E" w:rsidRDefault="008F40EF" w:rsidP="00835C8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839D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2B1A53">
        <w:rPr>
          <w:rFonts w:ascii="Arial" w:hAnsi="Arial" w:cs="Arial"/>
          <w:sz w:val="24"/>
          <w:szCs w:val="24"/>
        </w:rPr>
        <w:fldChar w:fldCharType="end"/>
      </w:r>
      <w:r w:rsidRPr="002B1A53">
        <w:rPr>
          <w:rFonts w:ascii="Arial" w:hAnsi="Arial" w:cs="Arial"/>
          <w:sz w:val="24"/>
          <w:szCs w:val="24"/>
        </w:rPr>
        <w:t xml:space="preserve">      No </w:t>
      </w:r>
      <w:r w:rsidR="009839D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AF4B31">
        <w:tc>
          <w:tcPr>
            <w:tcW w:w="9018" w:type="dxa"/>
            <w:shd w:val="clear" w:color="auto" w:fill="DDD9C3" w:themeFill="background2" w:themeFillShade="E6"/>
          </w:tcPr>
          <w:p w:rsidR="00761DF6" w:rsidRPr="003E5653" w:rsidRDefault="00761DF6"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Pr="00835C84" w:rsidRDefault="00761DF6" w:rsidP="00AF4B31">
            <w:pPr>
              <w:rPr>
                <w:rFonts w:ascii="Arial" w:hAnsi="Arial" w:cs="Arial"/>
                <w:b/>
                <w:sz w:val="24"/>
                <w:szCs w:val="24"/>
              </w:rPr>
            </w:pPr>
          </w:p>
          <w:p w:rsidR="00835C84" w:rsidRDefault="00835C84" w:rsidP="00AF4B31">
            <w:pPr>
              <w:rPr>
                <w:rFonts w:ascii="Arial" w:hAnsi="Arial" w:cs="Arial"/>
                <w:b/>
                <w:sz w:val="24"/>
                <w:szCs w:val="24"/>
              </w:rPr>
            </w:pPr>
          </w:p>
          <w:p w:rsidR="00761DF6" w:rsidRPr="00835C84" w:rsidRDefault="00835C84" w:rsidP="00AF4B31">
            <w:pPr>
              <w:rPr>
                <w:rFonts w:ascii="Arial" w:hAnsi="Arial" w:cs="Arial"/>
                <w:b/>
                <w:sz w:val="24"/>
                <w:szCs w:val="24"/>
              </w:rPr>
            </w:pPr>
            <w:r w:rsidRPr="00835C84">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835C84" w:rsidRDefault="00835C84" w:rsidP="00AF4B31">
            <w:pPr>
              <w:rPr>
                <w:rFonts w:ascii="Arial" w:hAnsi="Arial" w:cs="Arial"/>
                <w:b/>
                <w:sz w:val="24"/>
                <w:szCs w:val="24"/>
              </w:rPr>
            </w:pPr>
          </w:p>
          <w:p w:rsidR="00835C84" w:rsidRDefault="00835C84" w:rsidP="00AF4B31">
            <w:pPr>
              <w:rPr>
                <w:rFonts w:ascii="Arial" w:hAnsi="Arial" w:cs="Arial"/>
                <w:b/>
                <w:sz w:val="24"/>
                <w:szCs w:val="24"/>
              </w:rPr>
            </w:pPr>
          </w:p>
          <w:p w:rsidR="00761DF6" w:rsidRPr="00835C84" w:rsidRDefault="006A111E" w:rsidP="00803F69">
            <w:pPr>
              <w:rPr>
                <w:rFonts w:ascii="Arial" w:hAnsi="Arial" w:cs="Arial"/>
                <w:b/>
                <w:sz w:val="24"/>
                <w:szCs w:val="24"/>
              </w:rPr>
            </w:pPr>
            <w:r>
              <w:rPr>
                <w:rFonts w:ascii="Arial" w:hAnsi="Arial" w:cs="Arial"/>
                <w:b/>
                <w:sz w:val="24"/>
                <w:szCs w:val="24"/>
              </w:rPr>
              <w:t>1</w:t>
            </w:r>
            <w:r w:rsidR="00007261">
              <w:rPr>
                <w:rFonts w:ascii="Arial" w:hAnsi="Arial" w:cs="Arial"/>
                <w:b/>
                <w:sz w:val="24"/>
                <w:szCs w:val="24"/>
              </w:rPr>
              <w:t>/</w:t>
            </w:r>
            <w:r w:rsidR="00803F69">
              <w:rPr>
                <w:rFonts w:ascii="Arial" w:hAnsi="Arial" w:cs="Arial"/>
                <w:b/>
                <w:sz w:val="24"/>
                <w:szCs w:val="24"/>
              </w:rPr>
              <w:t>10</w:t>
            </w:r>
            <w:r w:rsidR="00007261">
              <w:rPr>
                <w:rFonts w:ascii="Arial" w:hAnsi="Arial" w:cs="Arial"/>
                <w:b/>
                <w:sz w:val="24"/>
                <w:szCs w:val="24"/>
              </w:rPr>
              <w:t>/</w:t>
            </w:r>
            <w:r w:rsidR="00835C84" w:rsidRPr="00835C84">
              <w:rPr>
                <w:rFonts w:ascii="Arial" w:hAnsi="Arial" w:cs="Arial"/>
                <w:b/>
                <w:sz w:val="24"/>
                <w:szCs w:val="24"/>
              </w:rPr>
              <w:t>201</w:t>
            </w:r>
            <w:r w:rsidR="00007261">
              <w:rPr>
                <w:rFonts w:ascii="Arial" w:hAnsi="Arial" w:cs="Arial"/>
                <w:b/>
                <w:sz w:val="24"/>
                <w:szCs w:val="24"/>
              </w:rPr>
              <w:t>4</w:t>
            </w:r>
          </w:p>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tc>
        <w:tc>
          <w:tcPr>
            <w:tcW w:w="1980" w:type="dxa"/>
            <w:shd w:val="clear" w:color="auto" w:fill="DDD9C3" w:themeFill="background2" w:themeFillShade="E6"/>
          </w:tcPr>
          <w:p w:rsidR="00761DF6" w:rsidRDefault="00761DF6" w:rsidP="00AF4B31"/>
        </w:tc>
      </w:tr>
      <w:tr w:rsidR="00761DF6" w:rsidTr="00AF4B31">
        <w:trPr>
          <w:trHeight w:val="144"/>
        </w:trPr>
        <w:tc>
          <w:tcPr>
            <w:tcW w:w="9018" w:type="dxa"/>
            <w:shd w:val="clear" w:color="auto" w:fill="DDD9C3" w:themeFill="background2" w:themeFillShade="E6"/>
          </w:tcPr>
          <w:p w:rsidR="00761DF6" w:rsidRDefault="00761DF6" w:rsidP="00AF4B31">
            <w:r w:rsidRPr="00B45DCE">
              <w:rPr>
                <w:rFonts w:ascii="Arial" w:hAnsi="Arial" w:cs="Arial"/>
                <w:b/>
                <w:sz w:val="24"/>
                <w:szCs w:val="24"/>
              </w:rPr>
              <w:t>Approvals</w:t>
            </w:r>
            <w:r w:rsidRPr="00B45DCE">
              <w:t>:</w:t>
            </w:r>
          </w:p>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shd w:val="clear" w:color="auto" w:fill="DDD9C3" w:themeFill="background2" w:themeFillShade="E6"/>
          </w:tcPr>
          <w:p w:rsidR="00761DF6" w:rsidRDefault="00761DF6"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839D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313AE8">
        <w:rPr>
          <w:rFonts w:ascii="Arial" w:hAnsi="Arial" w:cs="Arial"/>
          <w:sz w:val="24"/>
          <w:szCs w:val="24"/>
        </w:rPr>
        <w:fldChar w:fldCharType="end"/>
      </w:r>
      <w:r w:rsidRPr="00313AE8">
        <w:rPr>
          <w:rFonts w:ascii="Arial" w:hAnsi="Arial" w:cs="Arial"/>
          <w:sz w:val="24"/>
          <w:szCs w:val="24"/>
        </w:rPr>
        <w:t xml:space="preserve">     No  </w:t>
      </w:r>
      <w:r w:rsidR="009839D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839D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839D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AF4B31">
        <w:tc>
          <w:tcPr>
            <w:tcW w:w="9018" w:type="dxa"/>
            <w:shd w:val="clear" w:color="auto" w:fill="B8CCE4" w:themeFill="accent1" w:themeFillTint="66"/>
          </w:tcPr>
          <w:p w:rsidR="00761DF6" w:rsidRDefault="00761DF6" w:rsidP="00AF4B31">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AF4B31">
            <w:pPr>
              <w:rPr>
                <w:rFonts w:ascii="Arial" w:hAnsi="Arial" w:cs="Arial"/>
                <w:b/>
                <w:sz w:val="24"/>
                <w:szCs w:val="24"/>
                <w:u w:val="single"/>
              </w:rPr>
            </w:pPr>
          </w:p>
          <w:p w:rsidR="00761DF6" w:rsidRDefault="00761DF6" w:rsidP="00AF4B31"/>
        </w:tc>
        <w:tc>
          <w:tcPr>
            <w:tcW w:w="1998" w:type="dxa"/>
            <w:shd w:val="clear" w:color="auto" w:fill="B8CCE4" w:themeFill="accent1" w:themeFillTint="66"/>
          </w:tcPr>
          <w:p w:rsidR="00761DF6" w:rsidRDefault="00761DF6" w:rsidP="00AF4B31"/>
        </w:tc>
      </w:tr>
      <w:tr w:rsidR="00761DF6" w:rsidTr="00AF4B31">
        <w:tc>
          <w:tcPr>
            <w:tcW w:w="9018" w:type="dxa"/>
            <w:tcBorders>
              <w:bottom w:val="single" w:sz="4" w:space="0" w:color="auto"/>
            </w:tcBorders>
            <w:shd w:val="clear" w:color="auto" w:fill="B8CCE4" w:themeFill="accent1" w:themeFillTint="66"/>
          </w:tcPr>
          <w:p w:rsidR="00761DF6" w:rsidRDefault="00761DF6" w:rsidP="00AF4B31"/>
        </w:tc>
        <w:tc>
          <w:tcPr>
            <w:tcW w:w="1998" w:type="dxa"/>
            <w:tcBorders>
              <w:bottom w:val="single" w:sz="4" w:space="0" w:color="auto"/>
            </w:tcBorders>
            <w:shd w:val="clear" w:color="auto" w:fill="B8CCE4" w:themeFill="accent1" w:themeFillTint="66"/>
          </w:tcPr>
          <w:p w:rsidR="00761DF6" w:rsidRDefault="00761DF6" w:rsidP="00AF4B31"/>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lastRenderedPageBreak/>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9018" w:type="dxa"/>
            <w:shd w:val="clear" w:color="auto" w:fill="B8CCE4" w:themeFill="accent1" w:themeFillTint="66"/>
          </w:tcPr>
          <w:p w:rsidR="00761DF6" w:rsidRPr="00F313EE" w:rsidRDefault="00761DF6"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839D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313AE8">
        <w:rPr>
          <w:rFonts w:ascii="Arial" w:hAnsi="Arial" w:cs="Arial"/>
          <w:sz w:val="24"/>
          <w:szCs w:val="24"/>
        </w:rPr>
        <w:fldChar w:fldCharType="end"/>
      </w:r>
      <w:r w:rsidRPr="00313AE8">
        <w:rPr>
          <w:rFonts w:ascii="Arial" w:hAnsi="Arial" w:cs="Arial"/>
          <w:sz w:val="24"/>
          <w:szCs w:val="24"/>
        </w:rPr>
        <w:t xml:space="preserve">     No  </w:t>
      </w:r>
      <w:r w:rsidR="009839D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839D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839D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839D0">
        <w:rPr>
          <w:rFonts w:ascii="Arial" w:hAnsi="Arial" w:cs="Arial"/>
          <w:sz w:val="24"/>
          <w:szCs w:val="24"/>
        </w:rPr>
      </w:r>
      <w:r w:rsidR="009839D0">
        <w:rPr>
          <w:rFonts w:ascii="Arial" w:hAnsi="Arial" w:cs="Arial"/>
          <w:sz w:val="24"/>
          <w:szCs w:val="24"/>
        </w:rPr>
        <w:fldChar w:fldCharType="separate"/>
      </w:r>
      <w:r w:rsidR="009839D0" w:rsidRPr="00313AE8">
        <w:rPr>
          <w:rFonts w:ascii="Arial" w:hAnsi="Arial" w:cs="Arial"/>
          <w:sz w:val="24"/>
          <w:szCs w:val="24"/>
        </w:rPr>
        <w:fldChar w:fldCharType="end"/>
      </w:r>
    </w:p>
    <w:p w:rsidR="00350A98" w:rsidRDefault="00350A98">
      <w:pPr>
        <w:rPr>
          <w:rFonts w:ascii="Arial" w:hAnsi="Arial" w:cs="Arial"/>
          <w:sz w:val="24"/>
          <w:szCs w:val="24"/>
        </w:rPr>
      </w:pPr>
    </w:p>
    <w:sectPr w:rsid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561" w:rsidRDefault="00233561" w:rsidP="00233561">
      <w:r>
        <w:separator/>
      </w:r>
    </w:p>
  </w:endnote>
  <w:endnote w:type="continuationSeparator" w:id="0">
    <w:p w:rsidR="00233561" w:rsidRDefault="0023356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61" w:rsidRDefault="009839D0">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D768B">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561" w:rsidRDefault="00233561" w:rsidP="00233561">
      <w:r>
        <w:separator/>
      </w:r>
    </w:p>
  </w:footnote>
  <w:footnote w:type="continuationSeparator" w:id="0">
    <w:p w:rsidR="00233561" w:rsidRDefault="00233561"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2EC"/>
    <w:multiLevelType w:val="hybridMultilevel"/>
    <w:tmpl w:val="673E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9A1F14"/>
    <w:multiLevelType w:val="hybridMultilevel"/>
    <w:tmpl w:val="1A5A37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6E44C6"/>
    <w:multiLevelType w:val="hybridMultilevel"/>
    <w:tmpl w:val="57E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E29BF"/>
    <w:multiLevelType w:val="hybridMultilevel"/>
    <w:tmpl w:val="BD50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AA0105"/>
    <w:multiLevelType w:val="hybridMultilevel"/>
    <w:tmpl w:val="B62C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FD5FB5"/>
    <w:multiLevelType w:val="hybridMultilevel"/>
    <w:tmpl w:val="C41AB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787724"/>
    <w:multiLevelType w:val="hybridMultilevel"/>
    <w:tmpl w:val="E32E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016EF"/>
    <w:multiLevelType w:val="hybridMultilevel"/>
    <w:tmpl w:val="FB4A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BF1432"/>
    <w:multiLevelType w:val="hybridMultilevel"/>
    <w:tmpl w:val="D5F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F2364"/>
    <w:multiLevelType w:val="hybridMultilevel"/>
    <w:tmpl w:val="D1D8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965386"/>
    <w:multiLevelType w:val="hybridMultilevel"/>
    <w:tmpl w:val="10F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D05846"/>
    <w:multiLevelType w:val="hybridMultilevel"/>
    <w:tmpl w:val="92428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091064"/>
    <w:multiLevelType w:val="hybridMultilevel"/>
    <w:tmpl w:val="F1A4E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
  </w:num>
  <w:num w:numId="4">
    <w:abstractNumId w:val="3"/>
  </w:num>
  <w:num w:numId="5">
    <w:abstractNumId w:val="12"/>
  </w:num>
  <w:num w:numId="6">
    <w:abstractNumId w:val="0"/>
  </w:num>
  <w:num w:numId="7">
    <w:abstractNumId w:val="11"/>
  </w:num>
  <w:num w:numId="8">
    <w:abstractNumId w:val="7"/>
  </w:num>
  <w:num w:numId="9">
    <w:abstractNumId w:val="8"/>
  </w:num>
  <w:num w:numId="10">
    <w:abstractNumId w:val="9"/>
  </w:num>
  <w:num w:numId="11">
    <w:abstractNumId w:val="5"/>
  </w:num>
  <w:num w:numId="12">
    <w:abstractNumId w:val="6"/>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7261"/>
    <w:rsid w:val="00020C3F"/>
    <w:rsid w:val="00041842"/>
    <w:rsid w:val="000514D4"/>
    <w:rsid w:val="00051D13"/>
    <w:rsid w:val="00083DF5"/>
    <w:rsid w:val="000840A2"/>
    <w:rsid w:val="000A3ADE"/>
    <w:rsid w:val="000B2CE9"/>
    <w:rsid w:val="000D0D4F"/>
    <w:rsid w:val="00103A43"/>
    <w:rsid w:val="0010693F"/>
    <w:rsid w:val="0011100C"/>
    <w:rsid w:val="00111B8E"/>
    <w:rsid w:val="001139A7"/>
    <w:rsid w:val="00146941"/>
    <w:rsid w:val="00167158"/>
    <w:rsid w:val="001A02A7"/>
    <w:rsid w:val="001A147E"/>
    <w:rsid w:val="001F3DAC"/>
    <w:rsid w:val="00203C77"/>
    <w:rsid w:val="00231555"/>
    <w:rsid w:val="00233561"/>
    <w:rsid w:val="00234B7E"/>
    <w:rsid w:val="00241E16"/>
    <w:rsid w:val="00243B99"/>
    <w:rsid w:val="00255F08"/>
    <w:rsid w:val="00273036"/>
    <w:rsid w:val="00287DE0"/>
    <w:rsid w:val="002A6916"/>
    <w:rsid w:val="002A7477"/>
    <w:rsid w:val="002B1A53"/>
    <w:rsid w:val="002B2123"/>
    <w:rsid w:val="002D768B"/>
    <w:rsid w:val="0030265A"/>
    <w:rsid w:val="003151BF"/>
    <w:rsid w:val="00315CC3"/>
    <w:rsid w:val="00332F9A"/>
    <w:rsid w:val="0034234E"/>
    <w:rsid w:val="00350A98"/>
    <w:rsid w:val="003840CC"/>
    <w:rsid w:val="003A6967"/>
    <w:rsid w:val="003D017F"/>
    <w:rsid w:val="003D59D8"/>
    <w:rsid w:val="003E182F"/>
    <w:rsid w:val="003F4135"/>
    <w:rsid w:val="00400980"/>
    <w:rsid w:val="004167EF"/>
    <w:rsid w:val="00440707"/>
    <w:rsid w:val="00446799"/>
    <w:rsid w:val="004652CE"/>
    <w:rsid w:val="004A12F3"/>
    <w:rsid w:val="004A4315"/>
    <w:rsid w:val="004F3222"/>
    <w:rsid w:val="004F7394"/>
    <w:rsid w:val="0050399D"/>
    <w:rsid w:val="00523703"/>
    <w:rsid w:val="00527409"/>
    <w:rsid w:val="00552434"/>
    <w:rsid w:val="005735CD"/>
    <w:rsid w:val="0058038B"/>
    <w:rsid w:val="005C46C1"/>
    <w:rsid w:val="005C7D6A"/>
    <w:rsid w:val="005D2B29"/>
    <w:rsid w:val="005E15CA"/>
    <w:rsid w:val="005E4D2D"/>
    <w:rsid w:val="005E5238"/>
    <w:rsid w:val="00603A43"/>
    <w:rsid w:val="00615056"/>
    <w:rsid w:val="0062365E"/>
    <w:rsid w:val="00631CEE"/>
    <w:rsid w:val="00651711"/>
    <w:rsid w:val="0065207F"/>
    <w:rsid w:val="00677A0D"/>
    <w:rsid w:val="006A111E"/>
    <w:rsid w:val="006A3149"/>
    <w:rsid w:val="006C069B"/>
    <w:rsid w:val="006E6CFA"/>
    <w:rsid w:val="006F14EB"/>
    <w:rsid w:val="006F5FFA"/>
    <w:rsid w:val="00716ABB"/>
    <w:rsid w:val="00753AFA"/>
    <w:rsid w:val="007561D9"/>
    <w:rsid w:val="00761DF6"/>
    <w:rsid w:val="0076482B"/>
    <w:rsid w:val="0077023D"/>
    <w:rsid w:val="007A1971"/>
    <w:rsid w:val="007A45A6"/>
    <w:rsid w:val="007D1975"/>
    <w:rsid w:val="007D1B84"/>
    <w:rsid w:val="007E0F8F"/>
    <w:rsid w:val="00803F69"/>
    <w:rsid w:val="00811C35"/>
    <w:rsid w:val="00835C84"/>
    <w:rsid w:val="00893A71"/>
    <w:rsid w:val="008F40EF"/>
    <w:rsid w:val="008F62B2"/>
    <w:rsid w:val="00910769"/>
    <w:rsid w:val="009213C1"/>
    <w:rsid w:val="0092524F"/>
    <w:rsid w:val="009565C5"/>
    <w:rsid w:val="00967B62"/>
    <w:rsid w:val="009839D0"/>
    <w:rsid w:val="009857E6"/>
    <w:rsid w:val="0099452D"/>
    <w:rsid w:val="009B3949"/>
    <w:rsid w:val="009C1083"/>
    <w:rsid w:val="009C75F7"/>
    <w:rsid w:val="009F3E58"/>
    <w:rsid w:val="00A40DC3"/>
    <w:rsid w:val="00A553C2"/>
    <w:rsid w:val="00A9284E"/>
    <w:rsid w:val="00AB7DBA"/>
    <w:rsid w:val="00AD50F2"/>
    <w:rsid w:val="00AD6D73"/>
    <w:rsid w:val="00B079BE"/>
    <w:rsid w:val="00B841EA"/>
    <w:rsid w:val="00BA27EA"/>
    <w:rsid w:val="00BA55E7"/>
    <w:rsid w:val="00C2223F"/>
    <w:rsid w:val="00C3660C"/>
    <w:rsid w:val="00C42CC0"/>
    <w:rsid w:val="00C56A0D"/>
    <w:rsid w:val="00C6101A"/>
    <w:rsid w:val="00C640ED"/>
    <w:rsid w:val="00C64338"/>
    <w:rsid w:val="00C65D58"/>
    <w:rsid w:val="00CA6369"/>
    <w:rsid w:val="00CD7A67"/>
    <w:rsid w:val="00CE1557"/>
    <w:rsid w:val="00CE4E0C"/>
    <w:rsid w:val="00CF30DD"/>
    <w:rsid w:val="00CF5250"/>
    <w:rsid w:val="00D1166C"/>
    <w:rsid w:val="00D27B18"/>
    <w:rsid w:val="00D633D3"/>
    <w:rsid w:val="00D84F37"/>
    <w:rsid w:val="00D928DB"/>
    <w:rsid w:val="00DA02C7"/>
    <w:rsid w:val="00DD1AD9"/>
    <w:rsid w:val="00DF51D6"/>
    <w:rsid w:val="00DF6505"/>
    <w:rsid w:val="00E3390A"/>
    <w:rsid w:val="00E40646"/>
    <w:rsid w:val="00E75447"/>
    <w:rsid w:val="00E93E74"/>
    <w:rsid w:val="00EA38F7"/>
    <w:rsid w:val="00EA7748"/>
    <w:rsid w:val="00EC2F62"/>
    <w:rsid w:val="00EE0213"/>
    <w:rsid w:val="00EE2807"/>
    <w:rsid w:val="00F013A5"/>
    <w:rsid w:val="00F1711F"/>
    <w:rsid w:val="00F54A7C"/>
    <w:rsid w:val="00F570EA"/>
    <w:rsid w:val="00F81CBF"/>
    <w:rsid w:val="00F83891"/>
    <w:rsid w:val="00FA436C"/>
    <w:rsid w:val="00FD5475"/>
    <w:rsid w:val="00FE42AA"/>
    <w:rsid w:val="00FE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6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835C84"/>
    <w:pPr>
      <w:ind w:left="720"/>
      <w:contextualSpacing/>
    </w:pPr>
  </w:style>
  <w:style w:type="paragraph" w:styleId="NormalWeb">
    <w:name w:val="Normal (Web)"/>
    <w:basedOn w:val="Normal"/>
    <w:uiPriority w:val="99"/>
    <w:unhideWhenUsed/>
    <w:rsid w:val="00D84F37"/>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4734100">
      <w:bodyDiv w:val="1"/>
      <w:marLeft w:val="0"/>
      <w:marRight w:val="0"/>
      <w:marTop w:val="0"/>
      <w:marBottom w:val="0"/>
      <w:divBdr>
        <w:top w:val="none" w:sz="0" w:space="0" w:color="auto"/>
        <w:left w:val="none" w:sz="0" w:space="0" w:color="auto"/>
        <w:bottom w:val="none" w:sz="0" w:space="0" w:color="auto"/>
        <w:right w:val="none" w:sz="0" w:space="0" w:color="auto"/>
      </w:divBdr>
    </w:div>
    <w:div w:id="193346416">
      <w:bodyDiv w:val="1"/>
      <w:marLeft w:val="0"/>
      <w:marRight w:val="0"/>
      <w:marTop w:val="0"/>
      <w:marBottom w:val="0"/>
      <w:divBdr>
        <w:top w:val="none" w:sz="0" w:space="0" w:color="auto"/>
        <w:left w:val="none" w:sz="0" w:space="0" w:color="auto"/>
        <w:bottom w:val="none" w:sz="0" w:space="0" w:color="auto"/>
        <w:right w:val="none" w:sz="0" w:space="0" w:color="auto"/>
      </w:divBdr>
    </w:div>
    <w:div w:id="254947899">
      <w:bodyDiv w:val="1"/>
      <w:marLeft w:val="0"/>
      <w:marRight w:val="0"/>
      <w:marTop w:val="0"/>
      <w:marBottom w:val="0"/>
      <w:divBdr>
        <w:top w:val="none" w:sz="0" w:space="0" w:color="auto"/>
        <w:left w:val="none" w:sz="0" w:space="0" w:color="auto"/>
        <w:bottom w:val="none" w:sz="0" w:space="0" w:color="auto"/>
        <w:right w:val="none" w:sz="0" w:space="0" w:color="auto"/>
      </w:divBdr>
    </w:div>
    <w:div w:id="713390286">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66302248">
      <w:bodyDiv w:val="1"/>
      <w:marLeft w:val="0"/>
      <w:marRight w:val="0"/>
      <w:marTop w:val="0"/>
      <w:marBottom w:val="0"/>
      <w:divBdr>
        <w:top w:val="none" w:sz="0" w:space="0" w:color="auto"/>
        <w:left w:val="none" w:sz="0" w:space="0" w:color="auto"/>
        <w:bottom w:val="none" w:sz="0" w:space="0" w:color="auto"/>
        <w:right w:val="none" w:sz="0" w:space="0" w:color="auto"/>
      </w:divBdr>
    </w:div>
    <w:div w:id="123831974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81514077">
      <w:bodyDiv w:val="1"/>
      <w:marLeft w:val="0"/>
      <w:marRight w:val="0"/>
      <w:marTop w:val="0"/>
      <w:marBottom w:val="0"/>
      <w:divBdr>
        <w:top w:val="none" w:sz="0" w:space="0" w:color="auto"/>
        <w:left w:val="none" w:sz="0" w:space="0" w:color="auto"/>
        <w:bottom w:val="none" w:sz="0" w:space="0" w:color="auto"/>
        <w:right w:val="none" w:sz="0" w:space="0" w:color="auto"/>
      </w:divBdr>
    </w:div>
    <w:div w:id="1647205355">
      <w:bodyDiv w:val="1"/>
      <w:marLeft w:val="0"/>
      <w:marRight w:val="0"/>
      <w:marTop w:val="0"/>
      <w:marBottom w:val="0"/>
      <w:divBdr>
        <w:top w:val="none" w:sz="0" w:space="0" w:color="auto"/>
        <w:left w:val="none" w:sz="0" w:space="0" w:color="auto"/>
        <w:bottom w:val="none" w:sz="0" w:space="0" w:color="auto"/>
        <w:right w:val="none" w:sz="0" w:space="0" w:color="auto"/>
      </w:divBdr>
    </w:div>
    <w:div w:id="1720933359">
      <w:bodyDiv w:val="1"/>
      <w:marLeft w:val="0"/>
      <w:marRight w:val="0"/>
      <w:marTop w:val="0"/>
      <w:marBottom w:val="0"/>
      <w:divBdr>
        <w:top w:val="none" w:sz="0" w:space="0" w:color="auto"/>
        <w:left w:val="none" w:sz="0" w:space="0" w:color="auto"/>
        <w:bottom w:val="none" w:sz="0" w:space="0" w:color="auto"/>
        <w:right w:val="none" w:sz="0" w:space="0" w:color="auto"/>
      </w:divBdr>
    </w:div>
    <w:div w:id="17799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24&amp;catalogYear=13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4&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CAD38-2A3E-48A3-82FC-13833C90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2014-01-08T20:31:00Z</dcterms:created>
  <dcterms:modified xsi:type="dcterms:W3CDTF">2014-01-10T22:43:00Z</dcterms:modified>
</cp:coreProperties>
</file>