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F3" w:rsidRPr="00B32399" w:rsidRDefault="0009318F" w:rsidP="00B32399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606DF3">
        <w:rPr>
          <w:rFonts w:cs="Times New Roman"/>
          <w:b/>
          <w:sz w:val="28"/>
          <w:szCs w:val="28"/>
          <w:u w:val="single"/>
        </w:rPr>
        <w:t>Proposal for Credit by Exam</w:t>
      </w:r>
      <w:r w:rsidR="00BB109D" w:rsidRPr="00606DF3">
        <w:rPr>
          <w:rFonts w:cs="Times New Roman"/>
          <w:b/>
          <w:sz w:val="28"/>
          <w:szCs w:val="28"/>
          <w:u w:val="single"/>
        </w:rPr>
        <w:t xml:space="preserve"> Change:  Effective Fall 2014</w:t>
      </w:r>
    </w:p>
    <w:p w:rsidR="0009318F" w:rsidRPr="00700419" w:rsidRDefault="0009318F" w:rsidP="00823339">
      <w:pPr>
        <w:spacing w:after="0" w:line="240" w:lineRule="auto"/>
        <w:rPr>
          <w:rFonts w:ascii="Calibri" w:hAnsi="Calibri" w:cs="Times New Roman"/>
          <w:b/>
          <w:color w:val="4F81BD" w:themeColor="accent1"/>
          <w:sz w:val="28"/>
          <w:szCs w:val="28"/>
        </w:rPr>
      </w:pPr>
      <w:r w:rsidRPr="00700419">
        <w:rPr>
          <w:rFonts w:ascii="Calibri" w:hAnsi="Calibri" w:cs="Times New Roman"/>
          <w:b/>
          <w:sz w:val="28"/>
          <w:szCs w:val="28"/>
        </w:rPr>
        <w:t xml:space="preserve">Academic Unit: </w:t>
      </w:r>
      <w:r w:rsidR="00700419">
        <w:rPr>
          <w:rFonts w:ascii="Calibri" w:hAnsi="Calibri" w:cs="Times New Roman"/>
          <w:sz w:val="28"/>
          <w:szCs w:val="28"/>
        </w:rPr>
        <w:t xml:space="preserve"> </w:t>
      </w:r>
      <w:r w:rsidR="00184331" w:rsidRPr="00700419">
        <w:rPr>
          <w:rFonts w:ascii="Calibri" w:hAnsi="Calibri" w:cs="Times New Roman"/>
          <w:b/>
          <w:color w:val="4F81BD" w:themeColor="accent1"/>
          <w:sz w:val="28"/>
          <w:szCs w:val="28"/>
        </w:rPr>
        <w:t>ART</w:t>
      </w:r>
      <w:r w:rsidR="0032025D">
        <w:rPr>
          <w:rFonts w:ascii="Calibri" w:hAnsi="Calibri" w:cs="Times New Roman"/>
          <w:b/>
          <w:color w:val="4F81BD" w:themeColor="accent1"/>
          <w:sz w:val="28"/>
          <w:szCs w:val="28"/>
        </w:rPr>
        <w:t xml:space="preserve"> History</w:t>
      </w:r>
    </w:p>
    <w:p w:rsidR="00823339" w:rsidRPr="00700419" w:rsidRDefault="0009318F" w:rsidP="00823339">
      <w:pPr>
        <w:spacing w:after="0" w:line="240" w:lineRule="auto"/>
        <w:rPr>
          <w:rFonts w:ascii="Calibri" w:hAnsi="Calibri" w:cs="Times New Roman"/>
          <w:b/>
        </w:rPr>
      </w:pPr>
      <w:r w:rsidRPr="00700419">
        <w:rPr>
          <w:rFonts w:ascii="Calibri" w:hAnsi="Calibri" w:cs="Times New Roman"/>
          <w:b/>
          <w:sz w:val="28"/>
          <w:szCs w:val="28"/>
        </w:rPr>
        <w:t xml:space="preserve">Type of Exam:  </w:t>
      </w:r>
      <w:r w:rsidR="0032025D">
        <w:rPr>
          <w:rFonts w:ascii="Calibri" w:hAnsi="Calibri" w:cs="Times New Roman"/>
          <w:b/>
          <w:color w:val="4F81BD" w:themeColor="accent1"/>
          <w:sz w:val="28"/>
          <w:szCs w:val="28"/>
        </w:rPr>
        <w:t>DSST</w:t>
      </w:r>
    </w:p>
    <w:p w:rsidR="00700419" w:rsidRDefault="00700419" w:rsidP="00823339">
      <w:pPr>
        <w:spacing w:after="0" w:line="240" w:lineRule="auto"/>
        <w:rPr>
          <w:rFonts w:ascii="Calibri" w:hAnsi="Calibri" w:cs="Times New Roman"/>
        </w:rPr>
      </w:pPr>
    </w:p>
    <w:p w:rsidR="00184331" w:rsidRDefault="0009318F" w:rsidP="0070041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After considering the</w:t>
      </w:r>
      <w:r w:rsidR="00823339" w:rsidRPr="00823339">
        <w:rPr>
          <w:rFonts w:ascii="Calibri" w:hAnsi="Calibri" w:cs="Times New Roman"/>
        </w:rPr>
        <w:t xml:space="preserve"> testing materials and statewide articulation norms</w:t>
      </w:r>
      <w:r w:rsidR="0032025D">
        <w:rPr>
          <w:rFonts w:ascii="Calibri" w:hAnsi="Calibri" w:cs="Times New Roman"/>
        </w:rPr>
        <w:t xml:space="preserve"> from the ART ATF Meeting this Fall</w:t>
      </w:r>
      <w:r w:rsidR="00823339" w:rsidRPr="00823339">
        <w:rPr>
          <w:rFonts w:ascii="Calibri" w:hAnsi="Calibri" w:cs="Times New Roman"/>
        </w:rPr>
        <w:t xml:space="preserve">, the department acknowledges </w:t>
      </w:r>
      <w:r w:rsidR="0032025D">
        <w:rPr>
          <w:rFonts w:ascii="Calibri" w:hAnsi="Calibri" w:cs="Times New Roman"/>
        </w:rPr>
        <w:t xml:space="preserve">the direction for </w:t>
      </w:r>
      <w:r>
        <w:rPr>
          <w:rFonts w:ascii="Calibri" w:hAnsi="Calibri" w:cs="Times New Roman"/>
        </w:rPr>
        <w:t xml:space="preserve">alignment for credit by exam </w:t>
      </w:r>
      <w:r w:rsidR="00823339" w:rsidRPr="00823339">
        <w:rPr>
          <w:rFonts w:ascii="Calibri" w:hAnsi="Calibri" w:cs="Times New Roman"/>
        </w:rPr>
        <w:t>scores between the three universities and would like to make the following changes.</w:t>
      </w:r>
    </w:p>
    <w:p w:rsidR="00700419" w:rsidRPr="001B02F5" w:rsidRDefault="00700419" w:rsidP="00700419">
      <w:pPr>
        <w:spacing w:after="0" w:line="240" w:lineRule="auto"/>
        <w:rPr>
          <w:rFonts w:ascii="Calibri" w:hAnsi="Calibri" w:cs="Times New Roman"/>
        </w:rPr>
      </w:pPr>
    </w:p>
    <w:p w:rsidR="00E50633" w:rsidRPr="001B02F5" w:rsidRDefault="005A0935">
      <w:pPr>
        <w:pBdr>
          <w:bottom w:val="single" w:sz="6" w:space="1" w:color="auto"/>
        </w:pBdr>
        <w:rPr>
          <w:b/>
          <w:color w:val="C00000"/>
        </w:rPr>
      </w:pPr>
      <w:r w:rsidRPr="001B02F5">
        <w:rPr>
          <w:b/>
          <w:color w:val="C00000"/>
          <w:u w:val="single"/>
        </w:rPr>
        <w:t xml:space="preserve">The Current </w:t>
      </w:r>
      <w:r w:rsidR="00700419" w:rsidRPr="001B02F5">
        <w:rPr>
          <w:b/>
          <w:color w:val="C00000"/>
          <w:u w:val="single"/>
        </w:rPr>
        <w:t xml:space="preserve">NAU </w:t>
      </w:r>
      <w:r w:rsidRPr="001B02F5">
        <w:rPr>
          <w:b/>
          <w:color w:val="C00000"/>
          <w:u w:val="single"/>
        </w:rPr>
        <w:t>Catalog s</w:t>
      </w:r>
      <w:r w:rsidR="0009318F" w:rsidRPr="001B02F5">
        <w:rPr>
          <w:b/>
          <w:color w:val="C00000"/>
          <w:u w:val="single"/>
        </w:rPr>
        <w:t>hows</w:t>
      </w:r>
      <w:r w:rsidR="0009318F" w:rsidRPr="001B02F5">
        <w:rPr>
          <w:b/>
          <w:color w:val="C00000"/>
        </w:rPr>
        <w:t>:</w:t>
      </w:r>
      <w:r w:rsidR="001B02F5" w:rsidRPr="001B02F5">
        <w:rPr>
          <w:b/>
          <w:color w:val="C00000"/>
        </w:rPr>
        <w:t xml:space="preserve"> </w:t>
      </w:r>
      <w:r w:rsidR="001B02F5" w:rsidRPr="001B02F5">
        <w:t xml:space="preserve"> </w:t>
      </w:r>
      <w:hyperlink r:id="rId5" w:history="1">
        <w:r w:rsidR="001B02F5" w:rsidRPr="001B02F5">
          <w:rPr>
            <w:rStyle w:val="Hyperlink"/>
            <w:color w:val="1F497D" w:themeColor="text2"/>
          </w:rPr>
          <w:t>http://catalog.nau.edu/transfer-and-test-credits.html</w:t>
        </w:r>
      </w:hyperlink>
    </w:p>
    <w:p w:rsidR="0009318F" w:rsidRDefault="0032025D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675322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161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25D" w:rsidRPr="0032025D" w:rsidRDefault="0032025D">
      <w:pPr>
        <w:pBdr>
          <w:bottom w:val="single" w:sz="6" w:space="1" w:color="auto"/>
        </w:pBdr>
        <w:rPr>
          <w:b/>
          <w:i/>
          <w:color w:val="1F497D" w:themeColor="text2"/>
        </w:rPr>
      </w:pPr>
      <w:r w:rsidRPr="0032025D">
        <w:rPr>
          <w:b/>
          <w:i/>
          <w:color w:val="1F497D" w:themeColor="text2"/>
        </w:rPr>
        <w:t xml:space="preserve">This exam is not listed in the catalog because, currently, we </w:t>
      </w:r>
      <w:r>
        <w:rPr>
          <w:b/>
          <w:i/>
          <w:color w:val="1F497D" w:themeColor="text2"/>
        </w:rPr>
        <w:t xml:space="preserve">do not award </w:t>
      </w:r>
      <w:r w:rsidRPr="0032025D">
        <w:rPr>
          <w:b/>
          <w:i/>
          <w:color w:val="1F497D" w:themeColor="text2"/>
        </w:rPr>
        <w:t>credit.</w:t>
      </w:r>
    </w:p>
    <w:p w:rsidR="00700419" w:rsidRPr="001B02F5" w:rsidRDefault="00700419" w:rsidP="001B02F5">
      <w:pPr>
        <w:pBdr>
          <w:bottom w:val="single" w:sz="6" w:space="1" w:color="auto"/>
        </w:pBdr>
      </w:pPr>
      <w:r w:rsidRPr="00700419">
        <w:rPr>
          <w:rFonts w:eastAsia="Times New Roman" w:cs="Arial"/>
          <w:b/>
          <w:bCs/>
          <w:color w:val="4F81BD" w:themeColor="accent1"/>
          <w:u w:val="single"/>
          <w:lang/>
        </w:rPr>
        <w:t>-------------------------------------------------------------------------------------------------------------------------------------------------------------</w:t>
      </w:r>
    </w:p>
    <w:p w:rsidR="007A689E" w:rsidRDefault="00184331" w:rsidP="00FC3DCD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Arial"/>
          <w:b/>
          <w:bCs/>
          <w:color w:val="C00000"/>
          <w:lang/>
        </w:rPr>
      </w:pPr>
      <w:r w:rsidRPr="00184331">
        <w:rPr>
          <w:rFonts w:eastAsia="Times New Roman" w:cs="Arial"/>
          <w:b/>
          <w:bCs/>
          <w:color w:val="C00000"/>
          <w:u w:val="single"/>
          <w:lang/>
        </w:rPr>
        <w:t>Proposal f</w:t>
      </w:r>
      <w:r w:rsidR="00700419">
        <w:rPr>
          <w:rFonts w:eastAsia="Times New Roman" w:cs="Arial"/>
          <w:b/>
          <w:bCs/>
          <w:color w:val="C00000"/>
          <w:u w:val="single"/>
          <w:lang/>
        </w:rPr>
        <w:t>or New Catalog to</w:t>
      </w:r>
      <w:r w:rsidR="005A0935" w:rsidRPr="00184331">
        <w:rPr>
          <w:rFonts w:eastAsia="Times New Roman" w:cs="Arial"/>
          <w:b/>
          <w:bCs/>
          <w:color w:val="C00000"/>
          <w:u w:val="single"/>
          <w:lang/>
        </w:rPr>
        <w:t xml:space="preserve"> s</w:t>
      </w:r>
      <w:r w:rsidR="0009318F" w:rsidRPr="00184331">
        <w:rPr>
          <w:rFonts w:eastAsia="Times New Roman" w:cs="Arial"/>
          <w:b/>
          <w:bCs/>
          <w:color w:val="C00000"/>
          <w:u w:val="single"/>
          <w:lang/>
        </w:rPr>
        <w:t>how:</w:t>
      </w:r>
      <w:r w:rsidR="0009318F" w:rsidRPr="00184331">
        <w:rPr>
          <w:rFonts w:eastAsia="Times New Roman" w:cs="Arial"/>
          <w:b/>
          <w:bCs/>
          <w:color w:val="C00000"/>
          <w:lang/>
        </w:rPr>
        <w:t xml:space="preserve">  </w:t>
      </w:r>
      <w:r w:rsidR="0032025D">
        <w:rPr>
          <w:rFonts w:eastAsia="Times New Roman" w:cs="Arial"/>
          <w:b/>
          <w:bCs/>
          <w:color w:val="C00000"/>
          <w:lang/>
        </w:rPr>
        <w:t>NAU will award credit for a score of 48 or higher.</w:t>
      </w:r>
    </w:p>
    <w:p w:rsidR="00184331" w:rsidRDefault="0032025D" w:rsidP="00FC3DCD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Arial"/>
          <w:b/>
          <w:bCs/>
          <w:i/>
          <w:color w:val="C00000"/>
          <w:lang/>
        </w:rPr>
      </w:pPr>
      <w:r>
        <w:rPr>
          <w:noProof/>
        </w:rPr>
        <w:drawing>
          <wp:inline distT="0" distB="0" distL="0" distR="0">
            <wp:extent cx="675322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161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98" w:type="dxa"/>
        <w:tblLook w:val="04A0"/>
      </w:tblPr>
      <w:tblGrid>
        <w:gridCol w:w="1800"/>
        <w:gridCol w:w="3870"/>
        <w:gridCol w:w="4950"/>
      </w:tblGrid>
      <w:tr w:rsidR="00184331" w:rsidTr="00700419">
        <w:tc>
          <w:tcPr>
            <w:tcW w:w="10620" w:type="dxa"/>
            <w:gridSpan w:val="3"/>
          </w:tcPr>
          <w:p w:rsidR="0032025D" w:rsidRPr="0032025D" w:rsidRDefault="0032025D" w:rsidP="00FC3DCD">
            <w:pPr>
              <w:spacing w:before="100" w:beforeAutospacing="1" w:after="100" w:afterAutospacing="1"/>
              <w:textAlignment w:val="top"/>
              <w:outlineLvl w:val="3"/>
              <w:rPr>
                <w:rFonts w:eastAsia="Times New Roman" w:cs="Arial"/>
                <w:b/>
                <w:bCs/>
                <w:lang/>
              </w:rPr>
            </w:pPr>
            <w:r>
              <w:rPr>
                <w:rFonts w:eastAsia="Times New Roman" w:cs="Arial"/>
                <w:b/>
                <w:bCs/>
                <w:lang/>
              </w:rPr>
              <w:t>Art of the Western World</w:t>
            </w:r>
          </w:p>
        </w:tc>
      </w:tr>
      <w:tr w:rsidR="00700419" w:rsidTr="0032025D">
        <w:tc>
          <w:tcPr>
            <w:tcW w:w="1800" w:type="dxa"/>
          </w:tcPr>
          <w:p w:rsidR="00700419" w:rsidRPr="0032025D" w:rsidRDefault="0032025D" w:rsidP="00FC3DCD">
            <w:pPr>
              <w:spacing w:before="100" w:beforeAutospacing="1" w:after="100" w:afterAutospacing="1"/>
              <w:textAlignment w:val="top"/>
              <w:outlineLvl w:val="3"/>
              <w:rPr>
                <w:rFonts w:eastAsia="Times New Roman" w:cs="Arial"/>
                <w:b/>
                <w:bCs/>
                <w:color w:val="C00000"/>
                <w:sz w:val="24"/>
                <w:szCs w:val="24"/>
                <w:lang/>
              </w:rPr>
            </w:pPr>
            <w:r w:rsidRPr="0032025D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/>
              </w:rPr>
              <w:t xml:space="preserve">  48</w:t>
            </w:r>
          </w:p>
        </w:tc>
        <w:tc>
          <w:tcPr>
            <w:tcW w:w="3870" w:type="dxa"/>
          </w:tcPr>
          <w:p w:rsidR="00700419" w:rsidRPr="0032025D" w:rsidRDefault="0032025D" w:rsidP="00FC3DCD">
            <w:pPr>
              <w:spacing w:before="100" w:beforeAutospacing="1" w:after="100" w:afterAutospacing="1"/>
              <w:textAlignment w:val="top"/>
              <w:outlineLvl w:val="3"/>
              <w:rPr>
                <w:rFonts w:eastAsia="Times New Roman" w:cs="Arial"/>
                <w:b/>
                <w:bCs/>
                <w:color w:val="C00000"/>
                <w:sz w:val="24"/>
                <w:szCs w:val="24"/>
                <w:lang/>
              </w:rPr>
            </w:pPr>
            <w:r w:rsidRPr="0032025D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/>
              </w:rPr>
              <w:t xml:space="preserve">ARH 141 </w:t>
            </w:r>
            <w:r w:rsidRPr="0032025D">
              <w:rPr>
                <w:rFonts w:eastAsia="Times New Roman" w:cs="Arial"/>
                <w:b/>
                <w:bCs/>
                <w:color w:val="C00000"/>
                <w:sz w:val="24"/>
                <w:szCs w:val="24"/>
                <w:u w:val="single"/>
                <w:lang/>
              </w:rPr>
              <w:t>OR</w:t>
            </w:r>
            <w:r w:rsidRPr="0032025D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/>
              </w:rPr>
              <w:t xml:space="preserve"> ARH 142 </w:t>
            </w:r>
          </w:p>
        </w:tc>
        <w:tc>
          <w:tcPr>
            <w:tcW w:w="4950" w:type="dxa"/>
          </w:tcPr>
          <w:p w:rsidR="00700419" w:rsidRPr="0032025D" w:rsidRDefault="00700419" w:rsidP="00FC3DCD">
            <w:pPr>
              <w:spacing w:before="100" w:beforeAutospacing="1" w:after="100" w:afterAutospacing="1"/>
              <w:textAlignment w:val="top"/>
              <w:outlineLvl w:val="3"/>
              <w:rPr>
                <w:rFonts w:eastAsia="Times New Roman" w:cs="Arial"/>
                <w:b/>
                <w:bCs/>
                <w:color w:val="C00000"/>
                <w:sz w:val="24"/>
                <w:szCs w:val="24"/>
                <w:lang/>
              </w:rPr>
            </w:pPr>
            <w:r w:rsidRPr="0032025D">
              <w:rPr>
                <w:rFonts w:eastAsia="Times New Roman" w:cs="Arial"/>
                <w:b/>
                <w:bCs/>
                <w:color w:val="C00000"/>
                <w:sz w:val="24"/>
                <w:szCs w:val="24"/>
                <w:lang/>
              </w:rPr>
              <w:t>3</w:t>
            </w:r>
            <w:bookmarkStart w:id="0" w:name="_GoBack"/>
            <w:bookmarkEnd w:id="0"/>
          </w:p>
          <w:p w:rsidR="0032025D" w:rsidRDefault="0032025D" w:rsidP="00FC3DCD">
            <w:pPr>
              <w:spacing w:before="100" w:beforeAutospacing="1" w:after="100" w:afterAutospacing="1"/>
              <w:textAlignment w:val="top"/>
              <w:outlineLvl w:val="3"/>
              <w:rPr>
                <w:rFonts w:eastAsia="Times New Roman" w:cs="Arial"/>
                <w:b/>
                <w:bCs/>
                <w:color w:val="C00000"/>
                <w:lang/>
              </w:rPr>
            </w:pPr>
          </w:p>
        </w:tc>
      </w:tr>
    </w:tbl>
    <w:p w:rsidR="00700419" w:rsidRPr="00700419" w:rsidRDefault="00700419" w:rsidP="00700419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Arial"/>
          <w:b/>
          <w:bCs/>
          <w:color w:val="4F81BD" w:themeColor="accent1"/>
          <w:u w:val="single"/>
          <w:lang/>
        </w:rPr>
      </w:pPr>
      <w:r w:rsidRPr="00700419">
        <w:rPr>
          <w:rFonts w:eastAsia="Times New Roman" w:cs="Arial"/>
          <w:b/>
          <w:bCs/>
          <w:color w:val="4F81BD" w:themeColor="accent1"/>
          <w:u w:val="single"/>
          <w:lang/>
        </w:rPr>
        <w:t>-------------------------------------------------------------------------------------------------------------------------------------------------------------</w:t>
      </w:r>
    </w:p>
    <w:p w:rsidR="001B02F5" w:rsidRPr="001B02F5" w:rsidRDefault="00700419" w:rsidP="001B02F5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="Arial"/>
          <w:b/>
          <w:bCs/>
          <w:color w:val="C00000"/>
          <w:u w:val="single"/>
          <w:lang/>
        </w:rPr>
      </w:pPr>
      <w:r w:rsidRPr="00700419">
        <w:rPr>
          <w:rFonts w:eastAsia="Times New Roman" w:cs="Arial"/>
          <w:b/>
          <w:bCs/>
          <w:color w:val="C00000"/>
          <w:u w:val="single"/>
          <w:lang/>
        </w:rPr>
        <w:t>Statewide scores for all three AZ Universities would show: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56"/>
        <w:gridCol w:w="2382"/>
        <w:gridCol w:w="2949"/>
        <w:gridCol w:w="3515"/>
      </w:tblGrid>
      <w:tr w:rsidR="001B02F5" w:rsidTr="0032025D">
        <w:trPr>
          <w:tblCellSpacing w:w="0" w:type="dxa"/>
          <w:jc w:val="center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87F"/>
            <w:vAlign w:val="center"/>
            <w:hideMark/>
          </w:tcPr>
          <w:p w:rsidR="001B02F5" w:rsidRDefault="002A4F20" w:rsidP="00B336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r w:rsidR="001B02F5">
                <w:rPr>
                  <w:rStyle w:val="Hyperlink"/>
                  <w:rFonts w:ascii="Times New Roman" w:eastAsia="Times New Roman" w:hAnsi="Times New Roman"/>
                  <w:b/>
                  <w:bCs/>
                  <w:color w:val="FFFFFF"/>
                  <w:sz w:val="24"/>
                  <w:szCs w:val="24"/>
                </w:rPr>
                <w:t>Exam Score</w:t>
              </w:r>
            </w:hyperlink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87F"/>
            <w:vAlign w:val="center"/>
            <w:hideMark/>
          </w:tcPr>
          <w:p w:rsidR="001B02F5" w:rsidRDefault="001B02F5" w:rsidP="00B336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  <w:t>ASU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87F"/>
            <w:vAlign w:val="center"/>
            <w:hideMark/>
          </w:tcPr>
          <w:p w:rsidR="001B02F5" w:rsidRDefault="001B02F5" w:rsidP="00B336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  <w:t>NAU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87F"/>
            <w:vAlign w:val="center"/>
            <w:hideMark/>
          </w:tcPr>
          <w:p w:rsidR="001B02F5" w:rsidRDefault="001B02F5" w:rsidP="00B3367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  <w:t>UA</w:t>
            </w:r>
          </w:p>
        </w:tc>
      </w:tr>
      <w:tr w:rsidR="001B02F5" w:rsidTr="003202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F5" w:rsidRDefault="003202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Art of the Western World (DSST)</w:t>
            </w:r>
            <w:r>
              <w:br/>
              <w:t>Exam Score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F5" w:rsidRDefault="003202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ARS 101 (3) </w:t>
            </w:r>
            <w:r w:rsidRPr="0032025D">
              <w:rPr>
                <w:u w:val="single"/>
              </w:rPr>
              <w:t>OR</w:t>
            </w:r>
            <w:r>
              <w:t xml:space="preserve"> ARS 102 (3)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F5" w:rsidRPr="0032025D" w:rsidRDefault="0032025D">
            <w:pP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NA   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ARH 141 </w:t>
            </w:r>
            <w:r w:rsidR="001B02F5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>(3)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32025D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u w:val="single"/>
              </w:rPr>
              <w:t>OR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</w:rPr>
              <w:t xml:space="preserve"> ARH 142 (3)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2F5" w:rsidRDefault="003202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ART 160D1</w:t>
            </w:r>
          </w:p>
        </w:tc>
      </w:tr>
    </w:tbl>
    <w:p w:rsidR="00B32399" w:rsidRDefault="00B32399"/>
    <w:p w:rsidR="0032025D" w:rsidRDefault="0032025D"/>
    <w:p w:rsidR="0032025D" w:rsidRDefault="0032025D"/>
    <w:p w:rsidR="00BB109D" w:rsidRDefault="00BB109D" w:rsidP="00B32399">
      <w:pPr>
        <w:spacing w:after="0"/>
      </w:pPr>
      <w:r>
        <w:t>___________________________</w:t>
      </w:r>
      <w:r w:rsidR="00B32399">
        <w:t>___________________          __________</w:t>
      </w:r>
      <w:r>
        <w:t>______________________________</w:t>
      </w:r>
      <w:r w:rsidR="00B32399">
        <w:t>__</w:t>
      </w:r>
    </w:p>
    <w:p w:rsidR="00B32399" w:rsidRDefault="00B32399" w:rsidP="00B32399">
      <w:pPr>
        <w:spacing w:after="0"/>
        <w:rPr>
          <w:b/>
          <w:i/>
        </w:rPr>
      </w:pPr>
      <w:r>
        <w:rPr>
          <w:b/>
          <w:i/>
        </w:rPr>
        <w:t xml:space="preserve">                           </w:t>
      </w:r>
      <w:r w:rsidRPr="00B32399">
        <w:rPr>
          <w:b/>
          <w:i/>
        </w:rPr>
        <w:t>Faculty Signature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 w:rsidRPr="00B32399">
        <w:rPr>
          <w:b/>
          <w:i/>
        </w:rPr>
        <w:t xml:space="preserve">Associate Dean Signature </w:t>
      </w:r>
    </w:p>
    <w:p w:rsidR="00700419" w:rsidRDefault="00700419" w:rsidP="00B32399">
      <w:pPr>
        <w:spacing w:after="0"/>
        <w:rPr>
          <w:b/>
          <w:i/>
        </w:rPr>
      </w:pPr>
    </w:p>
    <w:p w:rsidR="0032025D" w:rsidRDefault="0032025D" w:rsidP="00B32399">
      <w:pPr>
        <w:spacing w:after="0"/>
        <w:rPr>
          <w:b/>
          <w:i/>
        </w:rPr>
      </w:pPr>
    </w:p>
    <w:p w:rsidR="00700419" w:rsidRDefault="00700419" w:rsidP="00B32399">
      <w:pPr>
        <w:spacing w:after="0"/>
        <w:rPr>
          <w:b/>
          <w:i/>
        </w:rPr>
      </w:pPr>
    </w:p>
    <w:p w:rsidR="00700419" w:rsidRDefault="00700419" w:rsidP="00B32399">
      <w:pPr>
        <w:spacing w:after="0"/>
        <w:rPr>
          <w:b/>
          <w:i/>
        </w:rPr>
      </w:pPr>
    </w:p>
    <w:p w:rsidR="00700419" w:rsidRPr="00B32399" w:rsidRDefault="00700419" w:rsidP="00700419">
      <w:pPr>
        <w:spacing w:after="0"/>
        <w:rPr>
          <w:i/>
          <w:color w:val="1F497D" w:themeColor="text2"/>
          <w:u w:val="single"/>
        </w:rPr>
      </w:pPr>
      <w:r w:rsidRPr="00B32399">
        <w:rPr>
          <w:i/>
          <w:color w:val="1F497D" w:themeColor="text2"/>
          <w:u w:val="single"/>
        </w:rPr>
        <w:lastRenderedPageBreak/>
        <w:t xml:space="preserve">Directions: </w:t>
      </w:r>
    </w:p>
    <w:p w:rsidR="00700419" w:rsidRPr="00B32399" w:rsidRDefault="00700419" w:rsidP="00700419">
      <w:pPr>
        <w:pStyle w:val="ListParagraph"/>
        <w:numPr>
          <w:ilvl w:val="0"/>
          <w:numId w:val="1"/>
        </w:numPr>
        <w:rPr>
          <w:i/>
          <w:color w:val="1F497D" w:themeColor="text2"/>
        </w:rPr>
      </w:pPr>
      <w:r w:rsidRPr="00B32399">
        <w:rPr>
          <w:i/>
          <w:color w:val="1F497D" w:themeColor="text2"/>
        </w:rPr>
        <w:t xml:space="preserve">Complete the highlighted sections of this form.  </w:t>
      </w:r>
    </w:p>
    <w:p w:rsidR="00700419" w:rsidRPr="00B32399" w:rsidRDefault="00700419" w:rsidP="00700419">
      <w:pPr>
        <w:pStyle w:val="ListParagraph"/>
        <w:numPr>
          <w:ilvl w:val="0"/>
          <w:numId w:val="1"/>
        </w:numPr>
        <w:rPr>
          <w:i/>
          <w:color w:val="1F497D" w:themeColor="text2"/>
          <w:u w:val="single"/>
        </w:rPr>
      </w:pPr>
      <w:r w:rsidRPr="00B32399">
        <w:rPr>
          <w:i/>
          <w:color w:val="1F497D" w:themeColor="text2"/>
        </w:rPr>
        <w:t xml:space="preserve">Copy and paste what the current catalog shows in both sections below. </w:t>
      </w:r>
      <w:hyperlink r:id="rId8" w:history="1">
        <w:r w:rsidRPr="00B32399">
          <w:rPr>
            <w:rStyle w:val="Hyperlink"/>
            <w:i/>
            <w:color w:val="1F497D" w:themeColor="text2"/>
          </w:rPr>
          <w:t>http://catalog.nau.edu/transfer-and-test-credits.html</w:t>
        </w:r>
      </w:hyperlink>
      <w:r w:rsidRPr="00B32399">
        <w:rPr>
          <w:i/>
          <w:color w:val="1F497D" w:themeColor="text2"/>
          <w:u w:val="single"/>
        </w:rPr>
        <w:t xml:space="preserve"> </w:t>
      </w:r>
    </w:p>
    <w:p w:rsidR="00700419" w:rsidRPr="00B32399" w:rsidRDefault="00700419" w:rsidP="00700419">
      <w:pPr>
        <w:pStyle w:val="ListParagraph"/>
        <w:numPr>
          <w:ilvl w:val="0"/>
          <w:numId w:val="1"/>
        </w:numPr>
        <w:rPr>
          <w:i/>
          <w:color w:val="1F497D" w:themeColor="text2"/>
        </w:rPr>
      </w:pPr>
      <w:r w:rsidRPr="00B32399">
        <w:rPr>
          <w:i/>
          <w:color w:val="1F497D" w:themeColor="text2"/>
        </w:rPr>
        <w:t xml:space="preserve">In the second section, show the deletions with a line </w:t>
      </w:r>
      <w:r>
        <w:rPr>
          <w:i/>
          <w:color w:val="1F497D" w:themeColor="text2"/>
        </w:rPr>
        <w:t xml:space="preserve">through the text </w:t>
      </w:r>
      <w:r w:rsidRPr="00B32399">
        <w:rPr>
          <w:i/>
          <w:color w:val="1F497D" w:themeColor="text2"/>
        </w:rPr>
        <w:t xml:space="preserve">and add the changes in </w:t>
      </w:r>
      <w:r w:rsidRPr="00B32399">
        <w:rPr>
          <w:i/>
          <w:color w:val="C00000"/>
        </w:rPr>
        <w:t>red</w:t>
      </w:r>
      <w:r>
        <w:rPr>
          <w:i/>
          <w:color w:val="C00000"/>
        </w:rPr>
        <w:t>.</w:t>
      </w:r>
    </w:p>
    <w:p w:rsidR="00700419" w:rsidRPr="00B32399" w:rsidRDefault="00700419" w:rsidP="00700419">
      <w:pPr>
        <w:pStyle w:val="ListParagraph"/>
        <w:numPr>
          <w:ilvl w:val="0"/>
          <w:numId w:val="1"/>
        </w:numPr>
        <w:rPr>
          <w:i/>
          <w:color w:val="1F497D" w:themeColor="text2"/>
        </w:rPr>
      </w:pPr>
      <w:r>
        <w:rPr>
          <w:i/>
          <w:color w:val="1F497D" w:themeColor="text2"/>
        </w:rPr>
        <w:t>Remove the highlights below and delete these directions.</w:t>
      </w:r>
    </w:p>
    <w:p w:rsidR="00700419" w:rsidRPr="00B32399" w:rsidRDefault="00700419" w:rsidP="00700419">
      <w:pPr>
        <w:pStyle w:val="ListParagraph"/>
        <w:numPr>
          <w:ilvl w:val="0"/>
          <w:numId w:val="1"/>
        </w:numPr>
        <w:rPr>
          <w:i/>
          <w:color w:val="1F497D" w:themeColor="text2"/>
        </w:rPr>
      </w:pPr>
      <w:r w:rsidRPr="00B32399">
        <w:rPr>
          <w:i/>
          <w:color w:val="1F497D" w:themeColor="text2"/>
        </w:rPr>
        <w:t>Submit this form to your College</w:t>
      </w:r>
      <w:r>
        <w:rPr>
          <w:i/>
          <w:color w:val="1F497D" w:themeColor="text2"/>
        </w:rPr>
        <w:t>’s</w:t>
      </w:r>
      <w:r w:rsidRPr="00B32399">
        <w:rPr>
          <w:i/>
          <w:color w:val="1F497D" w:themeColor="text2"/>
        </w:rPr>
        <w:t xml:space="preserve"> Curriculum Committee for approval</w:t>
      </w:r>
      <w:r>
        <w:rPr>
          <w:i/>
          <w:color w:val="1F497D" w:themeColor="text2"/>
        </w:rPr>
        <w:t>.</w:t>
      </w:r>
    </w:p>
    <w:p w:rsidR="00700419" w:rsidRPr="00B32399" w:rsidRDefault="00700419" w:rsidP="00700419">
      <w:pPr>
        <w:pStyle w:val="ListParagraph"/>
        <w:numPr>
          <w:ilvl w:val="0"/>
          <w:numId w:val="1"/>
        </w:numPr>
        <w:rPr>
          <w:i/>
          <w:color w:val="1F497D" w:themeColor="text2"/>
        </w:rPr>
      </w:pPr>
      <w:r w:rsidRPr="00B32399">
        <w:rPr>
          <w:i/>
          <w:color w:val="1F497D" w:themeColor="text2"/>
        </w:rPr>
        <w:t xml:space="preserve">Ask your Associate Dean to sign below.  </w:t>
      </w:r>
    </w:p>
    <w:p w:rsidR="00700419" w:rsidRPr="00B32399" w:rsidRDefault="00700419" w:rsidP="00700419">
      <w:pPr>
        <w:pStyle w:val="ListParagraph"/>
        <w:numPr>
          <w:ilvl w:val="0"/>
          <w:numId w:val="1"/>
        </w:numPr>
        <w:rPr>
          <w:i/>
          <w:color w:val="1F497D" w:themeColor="text2"/>
        </w:rPr>
      </w:pPr>
      <w:r>
        <w:rPr>
          <w:i/>
          <w:color w:val="1F497D" w:themeColor="text2"/>
        </w:rPr>
        <w:t xml:space="preserve">Submit to UCC by emailing to </w:t>
      </w:r>
      <w:hyperlink r:id="rId9" w:history="1">
        <w:r w:rsidRPr="00F15C51">
          <w:rPr>
            <w:rStyle w:val="Hyperlink"/>
            <w:i/>
          </w:rPr>
          <w:t>Stuart.Galland@nau.edu</w:t>
        </w:r>
      </w:hyperlink>
      <w:r>
        <w:rPr>
          <w:i/>
          <w:color w:val="1F497D" w:themeColor="text2"/>
        </w:rPr>
        <w:t xml:space="preserve">  (please copy </w:t>
      </w:r>
      <w:hyperlink r:id="rId10" w:history="1">
        <w:r w:rsidRPr="00F15C51">
          <w:rPr>
            <w:rStyle w:val="Hyperlink"/>
            <w:i/>
          </w:rPr>
          <w:t>Nicole.Morrow@nau.edu</w:t>
        </w:r>
      </w:hyperlink>
      <w:r>
        <w:rPr>
          <w:i/>
          <w:color w:val="1F497D" w:themeColor="text2"/>
        </w:rPr>
        <w:t xml:space="preserve"> and </w:t>
      </w:r>
      <w:hyperlink r:id="rId11" w:history="1">
        <w:r w:rsidRPr="00F15C51">
          <w:rPr>
            <w:rStyle w:val="Hyperlink"/>
            <w:i/>
          </w:rPr>
          <w:t>Alecia.Mooney@nau.edu</w:t>
        </w:r>
      </w:hyperlink>
      <w:r>
        <w:rPr>
          <w:i/>
          <w:color w:val="1F497D" w:themeColor="text2"/>
        </w:rPr>
        <w:t xml:space="preserve">. </w:t>
      </w:r>
      <w:r w:rsidRPr="00B32399">
        <w:rPr>
          <w:i/>
          <w:color w:val="1F497D" w:themeColor="text2"/>
        </w:rPr>
        <w:t xml:space="preserve">  </w:t>
      </w:r>
    </w:p>
    <w:p w:rsidR="00700419" w:rsidRPr="007875FE" w:rsidRDefault="00700419" w:rsidP="00700419">
      <w:pPr>
        <w:spacing w:after="0"/>
        <w:rPr>
          <w:i/>
          <w:color w:val="1F497D" w:themeColor="text2"/>
        </w:rPr>
      </w:pPr>
      <w:r w:rsidRPr="007875FE">
        <w:rPr>
          <w:i/>
          <w:color w:val="1F497D" w:themeColor="text2"/>
        </w:rPr>
        <w:t xml:space="preserve">This will be </w:t>
      </w:r>
      <w:r>
        <w:rPr>
          <w:i/>
          <w:color w:val="1F497D" w:themeColor="text2"/>
        </w:rPr>
        <w:t>a “consent”</w:t>
      </w:r>
      <w:r w:rsidRPr="007875FE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 xml:space="preserve">item.  Therefore, you do not need to attend the UCC meeting.  </w:t>
      </w:r>
      <w:r w:rsidRPr="007875FE">
        <w:rPr>
          <w:i/>
          <w:color w:val="1F497D" w:themeColor="text2"/>
        </w:rPr>
        <w:t>Once this has been approved through UCC, all offices (Admissions, catalog, transfer/articulation</w:t>
      </w:r>
      <w:r>
        <w:rPr>
          <w:i/>
          <w:color w:val="1F497D" w:themeColor="text2"/>
        </w:rPr>
        <w:t xml:space="preserve">) </w:t>
      </w:r>
      <w:r w:rsidRPr="007875FE">
        <w:rPr>
          <w:i/>
          <w:color w:val="1F497D" w:themeColor="text2"/>
        </w:rPr>
        <w:t xml:space="preserve">will implement the changes for the following year. </w:t>
      </w:r>
      <w:r>
        <w:rPr>
          <w:i/>
          <w:color w:val="1F497D" w:themeColor="text2"/>
        </w:rPr>
        <w:t xml:space="preserve"> You can check for approval by going to the UCC webpage at: </w:t>
      </w:r>
      <w:hyperlink r:id="rId12" w:history="1">
        <w:r w:rsidRPr="00F15C51">
          <w:rPr>
            <w:rStyle w:val="Hyperlink"/>
            <w:i/>
          </w:rPr>
          <w:t>http://nau.edu/OCLDAA/Curriculum-Process/Approved-UCC-Actions/</w:t>
        </w:r>
      </w:hyperlink>
      <w:r>
        <w:rPr>
          <w:i/>
          <w:color w:val="1F497D" w:themeColor="text2"/>
        </w:rPr>
        <w:t xml:space="preserve"> </w:t>
      </w:r>
    </w:p>
    <w:p w:rsidR="00700419" w:rsidRDefault="00700419" w:rsidP="00700419">
      <w:pPr>
        <w:spacing w:after="0" w:line="240" w:lineRule="auto"/>
        <w:rPr>
          <w:rFonts w:ascii="Calibri" w:hAnsi="Calibri" w:cs="Times New Roman"/>
          <w:b/>
          <w:sz w:val="28"/>
          <w:szCs w:val="28"/>
          <w:u w:val="single"/>
        </w:rPr>
      </w:pPr>
      <w:r>
        <w:rPr>
          <w:rFonts w:ascii="Calibri" w:hAnsi="Calibri" w:cs="Times New Roman"/>
          <w:b/>
          <w:sz w:val="28"/>
          <w:szCs w:val="28"/>
          <w:u w:val="single"/>
        </w:rPr>
        <w:t>----------------------------------------------------------------------------------------------------------</w:t>
      </w:r>
    </w:p>
    <w:p w:rsidR="00700419" w:rsidRPr="00B32399" w:rsidRDefault="00700419" w:rsidP="00B32399">
      <w:pPr>
        <w:spacing w:after="0"/>
        <w:rPr>
          <w:b/>
          <w:i/>
        </w:rPr>
      </w:pPr>
    </w:p>
    <w:sectPr w:rsidR="00700419" w:rsidRPr="00B32399" w:rsidSect="00B32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287"/>
    <w:multiLevelType w:val="hybridMultilevel"/>
    <w:tmpl w:val="0A4669EE"/>
    <w:lvl w:ilvl="0" w:tplc="E5F44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633"/>
    <w:rsid w:val="0009318F"/>
    <w:rsid w:val="00184331"/>
    <w:rsid w:val="001B02F5"/>
    <w:rsid w:val="0028470F"/>
    <w:rsid w:val="002A4F20"/>
    <w:rsid w:val="0032025D"/>
    <w:rsid w:val="003A2D66"/>
    <w:rsid w:val="005A0935"/>
    <w:rsid w:val="00606DF3"/>
    <w:rsid w:val="00700419"/>
    <w:rsid w:val="007875FE"/>
    <w:rsid w:val="007A689E"/>
    <w:rsid w:val="00823339"/>
    <w:rsid w:val="00A11696"/>
    <w:rsid w:val="00B32399"/>
    <w:rsid w:val="00BB109D"/>
    <w:rsid w:val="00E50633"/>
    <w:rsid w:val="00FC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transfer-and-test-credit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transmac1.asu.edu/cgi-bin/WebObjects/ATASS.woa/2/wo/MAjX8MjzKEL31IED1rhItw/5.15.3" TargetMode="External"/><Relationship Id="rId12" Type="http://schemas.openxmlformats.org/officeDocument/2006/relationships/hyperlink" Target="http://nau.edu/OCLDAA/Curriculum-Process/Approved-UCC-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lecia.Mooney@nau.edu" TargetMode="External"/><Relationship Id="rId5" Type="http://schemas.openxmlformats.org/officeDocument/2006/relationships/hyperlink" Target="http://catalog.nau.edu/transfer-and-test-credits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Nicole.Morrow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art.Galland@na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 Mooney</dc:creator>
  <cp:lastModifiedBy>ssg52</cp:lastModifiedBy>
  <cp:revision>2</cp:revision>
  <dcterms:created xsi:type="dcterms:W3CDTF">2014-02-18T20:20:00Z</dcterms:created>
  <dcterms:modified xsi:type="dcterms:W3CDTF">2014-02-18T20:20:00Z</dcterms:modified>
</cp:coreProperties>
</file>